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Kickoff Memo: Pricing Architecture for Brewer, Manning and Davis</w:t>
      </w:r>
    </w:p>
    <w:p>
      <w:r>
        <w:t>From: Caroline Mayo, Principal. To: Engagement team.</w:t>
      </w:r>
    </w:p>
    <w:p>
      <w:r>
        <w:t>The objective is simple to state and hard to do: give Brewer, Manning and Davis a pricing architecture their sales force can defend, not just a spreadsheet their finance team can admire. The letter is signed, the engagement runs roughly four months from August 22, 2023, and the client is ready to move. Our sponsor is Vanessa Lewis, CFO; she is direct, numerate, and short on patience for consulting theater. Match her.</w:t>
      </w:r>
    </w:p>
    <w:p>
      <w:pPr>
        <w:pStyle w:val="Heading2"/>
      </w:pPr>
      <w:r>
        <w:t>Workstreams</w:t>
      </w:r>
    </w:p>
    <w:p>
      <w:pPr>
        <w:pStyle w:val="ListBullet"/>
      </w:pPr>
      <w:r>
        <w:t>Packaging and offer structure: what is sold together, what is sold separately, and why.</w:t>
      </w:r>
    </w:p>
    <w:p>
      <w:pPr>
        <w:pStyle w:val="ListBullet"/>
      </w:pPr>
      <w:r>
        <w:t>Price metric and discount policy: what the customer pays for, and who at Brewer, Manning and Davis has authority to move off list.</w:t>
      </w:r>
    </w:p>
    <w:p>
      <w:pPr>
        <w:pStyle w:val="ListBullet"/>
      </w:pPr>
      <w:r>
        <w:t>Migration and sales enablement: how the existing book of business gets from here to there without a renewal revolt.</w:t>
      </w:r>
    </w:p>
    <w:p>
      <w:pPr>
        <w:pStyle w:val="Heading2"/>
      </w:pPr>
      <w:r>
        <w:t>Next steps</w:t>
      </w:r>
    </w:p>
    <w:p>
      <w:pPr>
        <w:pStyle w:val="ListBullet"/>
      </w:pPr>
      <w:r>
        <w:t>Jeff Pope owns the interview calendar and the data request; both go out this week through the CFO's office.</w:t>
      </w:r>
    </w:p>
    <w:p>
      <w:pPr>
        <w:pStyle w:val="ListBullet"/>
      </w:pPr>
      <w:r>
        <w:t>I will draft the interview guide and the hypothesis tree before the first client session.</w:t>
      </w:r>
    </w:p>
    <w:p>
      <w:pPr>
        <w:pStyle w:val="ListBullet"/>
      </w:pPr>
      <w:r>
        <w:t>Weekly written status to the client; keep it to one page, lead with the finding.</w:t>
      </w:r>
    </w:p>
    <w:p>
      <w:r>
        <w:t>Questions come to me. Loose ends go to Jeff. Let's do this one well.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Gladepoint Strategies LLC</w:t>
    </w:r>
  </w:p>
  <w:p>
    <w:r>
      <w:rPr>
        <w:sz w:val="18"/>
      </w:rPr>
      <w:t>www.gladepointstrategies.com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Gladepoint Strategies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Pricing Architecture for Brewer, Manning and Davis</dc:title>
  <dc:subject/>
  <dc:creator>Caroline Mayo</dc:creator>
  <cp:keywords/>
  <dc:description>generated by python-docx</dc:description>
  <cp:lastModifiedBy>Caroline Mayo</cp:lastModifiedBy>
  <cp:revision>1</cp:revision>
  <dcterms:created xsi:type="dcterms:W3CDTF">2023-08-25T09:00:00Z</dcterms:created>
  <dcterms:modified xsi:type="dcterms:W3CDTF">2023-08-25T09:00:00Z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