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Pricing Architecture</w:t>
      </w:r>
    </w:p>
    <w:p>
      <w:r>
        <w:t>Attendees:</w:t>
      </w:r>
    </w:p>
    <w:p>
      <w:pPr>
        <w:pStyle w:val="ListBullet"/>
      </w:pPr>
      <w:r>
        <w:t>Caroline Mayo, Principal, Gladepoint Strategies</w:t>
      </w:r>
    </w:p>
    <w:p>
      <w:pPr>
        <w:pStyle w:val="ListBullet"/>
      </w:pPr>
      <w:r>
        <w:t>Jeff Pope, Engagement Manager, Gladepoint Strategies (minutes)</w:t>
      </w:r>
    </w:p>
    <w:p>
      <w:pPr>
        <w:pStyle w:val="ListBullet"/>
      </w:pPr>
      <w:r>
        <w:t>Vanessa Lewis, Chief Financial Officer, Brewer, Manning and Davis</w:t>
      </w:r>
    </w:p>
    <w:p>
      <w:r>
        <w:t>The session reviewed the two candidate pricing structures that survived the data work. Caroline walked through how each would land with Brewer, Manning and Davis customers at renewal, using the transaction analysis to show where revenue is concentrated and where discounting has drifted furthest from policy. Vanessa pressed on the accounting treatment of rebates under the second structure and asked that the modeling separate contractual rebates from discretionary ones; the team agreed this changes the picture and will rework the model accordingly.</w:t>
      </w:r>
    </w:p>
    <w:p>
      <w:r>
        <w:t>Discussion then turned to discount authority. The group aligned on the principle that authority should sit one level above the deal owner, with exceptions documented rather than negotiated case by case. Both candidate structures will be carried into the next round of modeling; no structure was eliminated in this session.</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Rework the rebate modeling to separate contractual from discretionary rebates</w:t>
            </w:r>
          </w:p>
        </w:tc>
        <w:tc>
          <w:tcPr>
            <w:tcW w:type="dxa" w:w="4320"/>
          </w:tcPr>
          <w:p>
            <w:r>
              <w:t>Caroline Mayo</w:t>
            </w:r>
          </w:p>
        </w:tc>
      </w:tr>
      <w:tr>
        <w:tc>
          <w:tcPr>
            <w:tcW w:type="dxa" w:w="4320"/>
          </w:tcPr>
          <w:p>
            <w:r>
              <w:t>Circulate revised models for both candidate structures ahead of the next working session</w:t>
            </w:r>
          </w:p>
        </w:tc>
        <w:tc>
          <w:tcPr>
            <w:tcW w:type="dxa" w:w="4320"/>
          </w:tcPr>
          <w:p>
            <w:r>
              <w:t>Jeff Pope</w:t>
            </w:r>
          </w:p>
        </w:tc>
      </w:tr>
      <w:tr>
        <w:tc>
          <w:tcPr>
            <w:tcW w:type="dxa" w:w="4320"/>
          </w:tcPr>
          <w:p>
            <w:r>
              <w:t>Arrange time with the controller's office on rebate accounting treatment</w:t>
            </w:r>
          </w:p>
        </w:tc>
        <w:tc>
          <w:tcPr>
            <w:tcW w:type="dxa" w:w="4320"/>
          </w:tcPr>
          <w:p>
            <w:r>
              <w:t>Vanessa Lewis</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Architecture for Brewer, Manning and Davis</dc:title>
  <dc:subject/>
  <dc:creator>Jeff Pope</dc:creator>
  <cp:keywords/>
  <dc:description>generated by python-docx</dc:description>
  <cp:lastModifiedBy>Jeff Pope</cp:lastModifiedBy>
  <cp:revision>1</cp:revision>
  <dcterms:created xsi:type="dcterms:W3CDTF">2023-10-09T09:00:00Z</dcterms:created>
  <dcterms:modified xsi:type="dcterms:W3CDTF">2023-10-09T09:00:00Z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