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Pricing Study</w:t>
      </w:r>
    </w:p>
    <w:p>
      <w:r>
        <w:t>Prepared for: Dean PLC leadership</w:t>
        <w:br/>
        <w:t>Prepared by: Robert Miller, Principal Consultant</w:t>
        <w:br/>
        <w:t>Status: through the midpoint of the engagement</w:t>
      </w:r>
    </w:p>
    <w:p>
      <w:pPr>
        <w:pStyle w:val="Heading2"/>
      </w:pPr>
      <w:r>
        <w:t>Summary</w:t>
      </w:r>
    </w:p>
    <w:p>
      <w:r>
        <w:t>We are about halfway through the pricing study for Dean PLC, and the work is on track and within budget. The data assembly is complete, the price waterfall is built, and we have moved from gathering the evidence to analyzing it, which is where the value of the study is made. The question you set at the outset was where the erosion happens between the price you set and the price you keep, and we can now see the shape of the answer even if the figures are not yet final. Nothing we have found so far changes the plan or the timeline we agreed at the start. This report covers what we accomplished this period, the early signals worth sharing, the budget, what comes next, and the handful of items worth watching. I have kept it to what the evidence currently supports; the substantiated conclusions, with numbers attached, belong in the final findings rather than here.</w:t>
      </w:r>
    </w:p>
    <w:p>
      <w:pPr>
        <w:pStyle w:val="Heading2"/>
      </w:pPr>
      <w:r>
        <w:t>Accomplishments This Period</w:t>
      </w:r>
    </w:p>
    <w:p>
      <w:r>
        <w:t>The core of this period was turning a year of raw transaction records into a picture your current reporting does not provide: how much of each list price actually survives to the bottom line, and where the rest goes. That meant building the data foundation carefully before drawing anything on top of it, because a waterfall built on figures no one trusts is worse than no waterfall at all.</w:t>
      </w:r>
    </w:p>
    <w:p>
      <w:pPr>
        <w:pStyle w:val="ListBullet"/>
      </w:pPr>
      <w:r>
        <w:t>Assembled and reconciled the last full year of line-level transaction data, including the off-invoice rebates and credits that ordinary margin reporting leaves out.</w:t>
      </w:r>
    </w:p>
    <w:p>
      <w:pPr>
        <w:pStyle w:val="ListBullet"/>
      </w:pPr>
      <w:r>
        <w:t>Built the price waterfall from list price to realized pocket price and quantified, provisionally, what is lost at each step, from on-invoice discounts through the off-invoice items.</w:t>
      </w:r>
    </w:p>
    <w:p>
      <w:pPr>
        <w:pStyle w:val="ListBullet"/>
      </w:pPr>
      <w:r>
        <w:t>Documented how discretionary discounts and off-invoice terms are granted and approved in practice, rather than as the written policy describes them.</w:t>
      </w:r>
    </w:p>
    <w:p>
      <w:pPr>
        <w:pStyle w:val="ListBullet"/>
      </w:pPr>
      <w:r>
        <w:t>Began the customer-level dispersion analysis, comparing the net price realized by customers that ought to be priced alike.</w:t>
      </w:r>
    </w:p>
    <w:p>
      <w:r>
        <w:t>Susan Wiley led the data assembly and the reconciliation back to source, which is the reason the waterfall rests on figures we trust. Jennifer Fletcher has kept the analysis anchored to the decisions your leadership will face, so the work stays pointed at what you can actually change rather than at what is merely interesting.</w:t>
      </w:r>
    </w:p>
    <w:p>
      <w:pPr>
        <w:pStyle w:val="Heading2"/>
      </w:pPr>
      <w:r>
        <w:t>Early Signals</w:t>
      </w:r>
    </w:p>
    <w:p>
      <w:r>
        <w:t>It is early to attach numbers to any of this, and I do not want to get ahead of the analysis, but three themes are clear enough to name. The first is price dispersion: comparable customers are realizing quite different net prices, and the difference does not track anything about their size or volume that we can yet see. The second is off-invoice leakage, where rebates and credits granted after the sale quietly erode a margin the invoice made look healthy. The third, smaller for now, is a set of small orders that appear to be filled at a loss once the cost of serving them is counted. We will test each of these against the data and size it before it reaches the findings, and you will see the substantiated version there, not before.</w:t>
      </w:r>
    </w:p>
    <w:p>
      <w:pPr>
        <w:pStyle w:val="Heading2"/>
      </w:pPr>
      <w:r>
        <w:t>Budget</w:t>
      </w:r>
    </w:p>
    <w:p>
      <w:r>
        <w:t>The engagement is being delivered against the fixed professional fee of $89,500. Our effort to date is tracking within that budget, and because the fee is fixed, your cost does not move with the hours we invest. We are not anticipating any change to scope; if that view changes, you will hear it from us well in advance rather than at the end.</w:t>
      </w:r>
    </w:p>
    <w:p>
      <w:pPr>
        <w:pStyle w:val="Heading2"/>
      </w:pPr>
      <w:r>
        <w:t>Upcoming Work</w:t>
      </w:r>
    </w:p>
    <w:p>
      <w:pPr>
        <w:pStyle w:val="ListBullet"/>
      </w:pPr>
      <w:r>
        <w:t>Complete the customer and segment dispersion analysis, and attach cost-to-serve where small orders may be priced below the cost of filling them.</w:t>
      </w:r>
    </w:p>
    <w:p>
      <w:pPr>
        <w:pStyle w:val="ListBullet"/>
      </w:pPr>
      <w:r>
        <w:t>Quantify the size of the opportunity in each leakage category, so the recommendations can be ranked by what they are worth.</w:t>
      </w:r>
    </w:p>
    <w:p>
      <w:pPr>
        <w:pStyle w:val="ListBullet"/>
      </w:pPr>
      <w:r>
        <w:t>Draft a short, prioritized set of pricing actions you can act on.</w:t>
      </w:r>
    </w:p>
    <w:p>
      <w:pPr>
        <w:pStyle w:val="ListBullet"/>
      </w:pPr>
      <w:r>
        <w:t>Preview the emerging findings with your leadership before we finalize, so nothing in the readout comes as a surprise.</w:t>
      </w:r>
    </w:p>
    <w:p>
      <w:pPr>
        <w:pStyle w:val="Heading2"/>
      </w:pPr>
      <w:r>
        <w:t>What We Will Need From You</w:t>
      </w:r>
    </w:p>
    <w:p>
      <w:r>
        <w:t>A study like this moves at the speed of the access it gets, and there are a few things from your side that would keep us on schedule over the next stretch.</w:t>
      </w:r>
    </w:p>
    <w:p>
      <w:pPr>
        <w:pStyle w:val="ListBullet"/>
      </w:pPr>
      <w:r>
        <w:t>The remaining cost-to-serve and freight detail, ideally within the next week or two, so we can finish testing the small-order question.</w:t>
      </w:r>
    </w:p>
    <w:p>
      <w:pPr>
        <w:pStyle w:val="ListBullet"/>
      </w:pPr>
      <w:r>
        <w:t>Confirmation of the rebate and credit figures we are tracing back to source.</w:t>
      </w:r>
    </w:p>
    <w:p>
      <w:pPr>
        <w:pStyle w:val="ListBullet"/>
      </w:pPr>
      <w:r>
        <w:t>A review slot with your leadership once the draft findings are ready, so the readout is a working discussion rather than a first look.</w:t>
      </w:r>
    </w:p>
    <w:p>
      <w:pPr>
        <w:pStyle w:val="Heading2"/>
      </w:pPr>
      <w:r>
        <w:t>Risks and Watch Items</w:t>
      </w:r>
    </w:p>
    <w:p>
      <w:pPr>
        <w:pStyle w:val="ListBullet"/>
      </w:pPr>
      <w:r>
        <w:t>Data completeness. A few of the off-invoice and cost-to-serve details are still being traced to source, and delays there would slow the final quantification.</w:t>
      </w:r>
    </w:p>
    <w:p>
      <w:pPr>
        <w:pStyle w:val="ListBullet"/>
      </w:pPr>
      <w:r>
        <w:t>Governance question. The dispersion we are seeing may point to a discount-approval issue larger than the study was scoped to fix; we will raise it plainly rather than expand the work quietly.</w:t>
      </w:r>
    </w:p>
    <w:p>
      <w:pPr>
        <w:pStyle w:val="ListBullet"/>
      </w:pPr>
      <w:r>
        <w:t>Scheduling. The leadership preview depends on finding time on your calendar over the coming weeks, and earlier is better than later.</w:t>
      </w:r>
    </w:p>
    <w:p>
      <w:r>
        <w:t>We are pleased with where the study stands and confident in the path from here. Please reach out with any questions in the meantime.</w:t>
      </w:r>
    </w:p>
    <w:p>
      <w:r>
        <w:t>Robert Miller</w:t>
        <w:br/>
        <w:t>Principal Consultant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Pricing Study for Dean PLC</dc:title>
  <dc:subject/>
  <dc:creator>Robert Miller</dc:creator>
  <cp:keywords/>
  <dc:description>generated by python-docx</dc:description>
  <cp:lastModifiedBy>Robert Miller</cp:lastModifiedBy>
  <cp:revision>1</cp:revision>
  <dcterms:created xsi:type="dcterms:W3CDTF">2020-06-09T09:00:00Z</dcterms:created>
  <dcterms:modified xsi:type="dcterms:W3CDTF">2020-06-09T09:00:00Z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