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Pricing Study</w:t>
      </w:r>
    </w:p>
    <w:p>
      <w:r>
        <w:t>Subject: Pricing study for Dean PLC</w:t>
        <w:br/>
        <w:t>Recorded by: Susan Wiley</w:t>
      </w:r>
    </w:p>
    <w:p>
      <w:pPr>
        <w:pStyle w:val="Heading2"/>
      </w:pPr>
      <w:r>
        <w:t>Attendees</w:t>
      </w:r>
    </w:p>
    <w:p>
      <w:pPr>
        <w:pStyle w:val="ListBullet"/>
      </w:pPr>
      <w:r>
        <w:t>Susan Wiley, Analyst, Pinebrook Advisory Group</w:t>
      </w:r>
    </w:p>
    <w:p>
      <w:pPr>
        <w:pStyle w:val="ListBullet"/>
      </w:pPr>
      <w:r>
        <w:t>Robert Miller, Principal Consultant, Pinebrook Advisory Group</w:t>
      </w:r>
    </w:p>
    <w:p>
      <w:pPr>
        <w:pStyle w:val="ListBullet"/>
      </w:pPr>
      <w:r>
        <w:t>Jennifer Fletcher, Senior Consultant, Pinebrook Advisory Group</w:t>
      </w:r>
    </w:p>
    <w:p>
      <w:pPr>
        <w:pStyle w:val="ListBullet"/>
      </w:pPr>
      <w:r>
        <w:t>Cynthia Foley, VP Finance, Dean PLC</w:t>
      </w:r>
    </w:p>
    <w:p>
      <w:pPr>
        <w:pStyle w:val="Heading2"/>
      </w:pPr>
      <w:r>
        <w:t>Discussion</w:t>
      </w:r>
    </w:p>
    <w:p>
      <w:r>
        <w:t>The session reviewed the state of the transaction data and the first pass at the price waterfall. We now have the last full year of line-level records loaded, roughly matching the order and invoice counts Cynthia Foley's team gave us as a control total, and I walked the group through what is complete and what is not. List price, invoiced price, and on-invoice discounts are in for essentially all lines, and they reconcile to the monthly sales totals within a small variance I have not yet chased down. The off-invoice items are the real gap: rebates and year-end credits are still being matched back to the customer and, where the records allow, to the line, and until that is done the pocket-price figures at the bottom of the waterfall should be read as provisional. I would rather note that plainly than let the early numbers travel further than they should.</w:t>
      </w:r>
    </w:p>
    <w:p>
      <w:r>
        <w:t>Robert walked the first waterfall and pointed to the spread between list and pocket price, which is wider than the reporting the client uses today would suggest. What drew attention was less the average than the dispersion: customers who look alike on paper are realizing meaningfully different net prices, and we do not yet have a clean explanation for all of it. We talked through the obvious candidates, customer size, how long the account has been on the books, the sales rep who owns it, and the region, and agreed to test each against the data rather than assume which one is driving the gap. Cynthia Foley described how discretionary discounts are approved in practice, which is more informal than the written policy implies, and that description lines up with what the transaction data is showing. Robert was careful to say we are not drawing conclusions yet; the purpose of this stage is to confirm the numbers are trustworthy before we weigh what they mean.</w:t>
      </w:r>
    </w:p>
    <w:p>
      <w:r>
        <w:t>Jennifer Fletcher raised which of the emerging patterns will matter most to leadership, so the analysis stays pointed at decisions the client can actually make. We also flagged two open data items. The cost-to-serve figures, which we need in order to test whether some small orders are priced below the cost of filling them, are only partly available, and we will have to decide how much to reconstruct from what exists. And a sample of the rebate accruals needs tracing back to source before I will rely on them, since the accrual timing does not always line up with the invoices they relate to. Cynthia Foley agreed to help us get both.</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Target</w:t>
            </w:r>
          </w:p>
        </w:tc>
      </w:tr>
      <w:tr>
        <w:tc>
          <w:tcPr>
            <w:tcW w:type="dxa" w:w="2880"/>
          </w:tcPr>
          <w:p>
            <w:r>
              <w:t>Match the off-invoice rebates and credits to customer and line</w:t>
            </w:r>
          </w:p>
        </w:tc>
        <w:tc>
          <w:tcPr>
            <w:tcW w:type="dxa" w:w="2880"/>
          </w:tcPr>
          <w:p>
            <w:r>
              <w:t>Susan Wiley</w:t>
            </w:r>
          </w:p>
        </w:tc>
        <w:tc>
          <w:tcPr>
            <w:tcW w:type="dxa" w:w="2880"/>
          </w:tcPr>
          <w:p>
            <w:r>
              <w:t>Before the next working session</w:t>
            </w:r>
          </w:p>
        </w:tc>
      </w:tr>
      <w:tr>
        <w:tc>
          <w:tcPr>
            <w:tcW w:type="dxa" w:w="2880"/>
          </w:tcPr>
          <w:p>
            <w:r>
              <w:t>Reconcile the remaining variance against the monthly sales totals</w:t>
            </w:r>
          </w:p>
        </w:tc>
        <w:tc>
          <w:tcPr>
            <w:tcW w:type="dxa" w:w="2880"/>
          </w:tcPr>
          <w:p>
            <w:r>
              <w:t>Susan Wiley</w:t>
            </w:r>
          </w:p>
        </w:tc>
        <w:tc>
          <w:tcPr>
            <w:tcW w:type="dxa" w:w="2880"/>
          </w:tcPr>
          <w:p>
            <w:r>
              <w:t>Before the next working session</w:t>
            </w:r>
          </w:p>
        </w:tc>
      </w:tr>
      <w:tr>
        <w:tc>
          <w:tcPr>
            <w:tcW w:type="dxa" w:w="2880"/>
          </w:tcPr>
          <w:p>
            <w:r>
              <w:t>Extend the price waterfall once the off-invoice items are mapped</w:t>
            </w:r>
          </w:p>
        </w:tc>
        <w:tc>
          <w:tcPr>
            <w:tcW w:type="dxa" w:w="2880"/>
          </w:tcPr>
          <w:p>
            <w:r>
              <w:t>Robert Miller</w:t>
            </w:r>
          </w:p>
        </w:tc>
        <w:tc>
          <w:tcPr>
            <w:tcW w:type="dxa" w:w="2880"/>
          </w:tcPr>
          <w:p>
            <w:r>
              <w:t>Before the next working session</w:t>
            </w:r>
          </w:p>
        </w:tc>
      </w:tr>
      <w:tr>
        <w:tc>
          <w:tcPr>
            <w:tcW w:type="dxa" w:w="2880"/>
          </w:tcPr>
          <w:p>
            <w:r>
              <w:t>Test the dispersion against customer size, tenure, rep, and region</w:t>
            </w:r>
          </w:p>
        </w:tc>
        <w:tc>
          <w:tcPr>
            <w:tcW w:type="dxa" w:w="2880"/>
          </w:tcPr>
          <w:p>
            <w:r>
              <w:t>Robert Miller</w:t>
            </w:r>
          </w:p>
        </w:tc>
        <w:tc>
          <w:tcPr>
            <w:tcW w:type="dxa" w:w="2880"/>
          </w:tcPr>
          <w:p>
            <w:r>
              <w:t>Within two weeks</w:t>
            </w:r>
          </w:p>
        </w:tc>
      </w:tr>
      <w:tr>
        <w:tc>
          <w:tcPr>
            <w:tcW w:type="dxa" w:w="2880"/>
          </w:tcPr>
          <w:p>
            <w:r>
              <w:t>Frame the emerging findings for a leadership preview</w:t>
            </w:r>
          </w:p>
        </w:tc>
        <w:tc>
          <w:tcPr>
            <w:tcW w:type="dxa" w:w="2880"/>
          </w:tcPr>
          <w:p>
            <w:r>
              <w:t>Jennifer Fletcher</w:t>
            </w:r>
          </w:p>
        </w:tc>
        <w:tc>
          <w:tcPr>
            <w:tcW w:type="dxa" w:w="2880"/>
          </w:tcPr>
          <w:p>
            <w:r>
              <w:t>By the next working session</w:t>
            </w:r>
          </w:p>
        </w:tc>
      </w:tr>
      <w:tr>
        <w:tc>
          <w:tcPr>
            <w:tcW w:type="dxa" w:w="2880"/>
          </w:tcPr>
          <w:p>
            <w:r>
              <w:t>Provide the cost-to-serve and freight detail</w:t>
            </w:r>
          </w:p>
        </w:tc>
        <w:tc>
          <w:tcPr>
            <w:tcW w:type="dxa" w:w="2880"/>
          </w:tcPr>
          <w:p>
            <w:r>
              <w:t>Cynthia Foley</w:t>
            </w:r>
          </w:p>
        </w:tc>
        <w:tc>
          <w:tcPr>
            <w:tcW w:type="dxa" w:w="2880"/>
          </w:tcPr>
          <w:p>
            <w:r>
              <w:t>By the next working session</w:t>
            </w:r>
          </w:p>
        </w:tc>
      </w:tr>
    </w:tbl>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Pricing Study for Dean PLC</dc:title>
  <dc:subject/>
  <dc:creator>Susan Wiley</dc:creator>
  <cp:keywords/>
  <dc:description>generated by python-docx</dc:description>
  <cp:lastModifiedBy>Susan Wiley</cp:lastModifiedBy>
  <cp:revision>1</cp:revision>
  <dcterms:created xsi:type="dcterms:W3CDTF">2020-05-17T09:00:00Z</dcterms:created>
  <dcterms:modified xsi:type="dcterms:W3CDTF">2020-05-17T09:00:00Z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