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Engagement Kickoff: Operational Review</w:t>
      </w:r>
    </w:p>
    <w:p>
      <w:r>
        <w:t>To: Engagement team</w:t>
        <w:br/>
        <w:t>From: Jennifer Fletcher</w:t>
        <w:br/>
        <w:t>Re: Operational review for Johnson and Sons</w:t>
      </w:r>
    </w:p>
    <w:p>
      <w:r>
        <w:t>Our operational review for Johnson and Sons is underway as of July 17, 2019, and I want us aligned before we get deep into the work. The objective is straightforward: give the client a clear, practical picture of how their core operations run today and a short list of changes worth making. Put plainly, they want to know why certain things cost what they cost and take as long as they take, and what to do about it. We are not here to catalog everything that could be better. We are here to find the few things that matter and to say so in language they can act on. If we do this well, the client finishes with a handful of changes they believe in and can start on right away, not a binder that sits on a shelf.</w:t>
      </w:r>
    </w:p>
    <w:p>
      <w:r>
        <w:t>Our primary contact is Stephanie Campos, Chief Financial Officer, and she has asked us to look first at the functions where cost and cycle time are hardest to explain. A quick word on how we will split the work. Robert Miller will own the analytical spine of the review: the process mapping, the operating data, and the findings that come out of them. I will keep us connected to the client and make sure our conclusions land well. Michelle Lopez is coordinating scheduling and logistics, so route interview times and site visits through her rather than booking directly with the client.</w:t>
      </w:r>
    </w:p>
    <w:p>
      <w:r>
        <w:t>One thing to keep in mind about this client. The operation has grown faster than its processes, so expect to find capable people working around systems that no longer fit them. Document how the work runs, not how you think it should run, and keep the tone of the interviews plain and respectful. We are mapping the operation, not grading the people in it, and that should be obvious to everyone we sit with.</w:t>
      </w:r>
    </w:p>
    <w:p>
      <w:pPr>
        <w:pStyle w:val="Heading2"/>
      </w:pPr>
      <w:r>
        <w:t>Workstreams</w:t>
      </w:r>
    </w:p>
    <w:p>
      <w:pPr>
        <w:pStyle w:val="ListBullet"/>
      </w:pPr>
      <w:r>
        <w:t>Process mapping. Document the core operating processes end to end, as they actually run, not as the manual describes them.</w:t>
      </w:r>
    </w:p>
    <w:p>
      <w:pPr>
        <w:pStyle w:val="ListBullet"/>
      </w:pPr>
      <w:r>
        <w:t>Operating data. Pull and review the metrics the client already produces, so our observations rest on evidence rather than on impressions.</w:t>
      </w:r>
    </w:p>
    <w:p>
      <w:pPr>
        <w:pStyle w:val="ListBullet"/>
      </w:pPr>
      <w:r>
        <w:t>Interviews and observation. Sit with the people who do the work and watch it happen, function by function, before we form a view.</w:t>
      </w:r>
    </w:p>
    <w:p>
      <w:pPr>
        <w:pStyle w:val="ListBullet"/>
      </w:pPr>
      <w:r>
        <w:t>Synthesis. Turn what we see into a short, prioritized set of findings and recommendations the client can actually use.</w:t>
      </w:r>
    </w:p>
    <w:p>
      <w:pPr>
        <w:pStyle w:val="ListBullet"/>
      </w:pPr>
      <w:r>
        <w:t>Readout. Prepare the findings and recommendations for a leadership working session at the close of the engagement.</w:t>
      </w:r>
    </w:p>
    <w:p>
      <w:r>
        <w:t>On cadence, plan for a short working session with the client roughly each week once we are into the fieldwork, plus whatever time the interviews require. Keep the client informed as we go. Stephanie Campos does not want to be surprised at the readout, and neither do we, so if you learn something that changes our picture of the operation, raise it early rather than saving it for the report.</w:t>
      </w:r>
    </w:p>
    <w:p>
      <w:pPr>
        <w:pStyle w:val="Heading2"/>
      </w:pPr>
      <w:r>
        <w:t>Next Steps</w:t>
      </w:r>
    </w:p>
    <w:p>
      <w:pPr>
        <w:pStyle w:val="ListBullet"/>
      </w:pPr>
      <w:r>
        <w:t>I will confirm the kickoff meeting with Stephanie Campos and her team this week.</w:t>
      </w:r>
    </w:p>
    <w:p>
      <w:pPr>
        <w:pStyle w:val="ListBullet"/>
      </w:pPr>
      <w:r>
        <w:t>Robert Miller will draft the initial data request so we can send it ahead of our first working session.</w:t>
      </w:r>
    </w:p>
    <w:p>
      <w:pPr>
        <w:pStyle w:val="ListBullet"/>
      </w:pPr>
      <w:r>
        <w:t>Michelle Lopez will circulate the interview schedule once the client confirms availability.</w:t>
      </w:r>
    </w:p>
    <w:p>
      <w:pPr>
        <w:pStyle w:val="ListBullet"/>
      </w:pPr>
      <w:r>
        <w:t>Jennifer and Robert: block the time for the first two working sessions now, before the client's calendar fills up.</w:t>
      </w:r>
    </w:p>
    <w:p>
      <w:pPr>
        <w:pStyle w:val="ListBullet"/>
      </w:pPr>
      <w:r>
        <w:t>Everyone: capture your observations as you go. We build the findings from evidence, and evidence is easiest to trust when it is written down the day you see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Operational Review for Johnson and Sons</dc:title>
  <dc:subject/>
  <dc:creator>Jennifer Fletcher</dc:creator>
  <cp:keywords/>
  <dc:description>generated by python-docx</dc:description>
  <cp:lastModifiedBy>Jennifer Fletcher</cp:lastModifiedBy>
  <cp:revision>1</cp:revision>
  <dcterms:created xsi:type="dcterms:W3CDTF">2019-07-20T09:00:00Z</dcterms:created>
  <dcterms:modified xsi:type="dcterms:W3CDTF">2019-07-20T09:00:00Z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