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 Id="rIdOrgSmith" Type="http://schemas.openxmlformats.org/officeDocument/2006/relationships/custom-properties" Target="docProps/custom.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Engagement Kickoff: Integration Support</w:t>
      </w:r>
    </w:p>
    <w:p>
      <w:r>
        <w:t>To: Engagement team</w:t>
        <w:br/>
        <w:t>From: Cynthia Ball</w:t>
        <w:br/>
        <w:t>Re: Integration support for Reeves, Miller and Thompson</w:t>
      </w:r>
    </w:p>
    <w:p>
      <w:r>
        <w:t>Our integration support for Reeves, Miller and Thompson is underway as of April 5, 2021, and I want us aligned on what we are here to do before we are heads-down in it. The objective is narrow and practical: help the client bring the business it acquired into one organization over the coming months, without dropping the day-to-day in the process. Two companies are still being run as two. Our job is to give the integration a plan, put a simple cadence around it, and keep an honest picture of where it stands so nothing important slips while everyone is busy. We build that picture from how the work actually runs today, function by function, and draw conclusions second. An integration is not one big decision but a few hundred small ones, and the ones that hurt are usually the ones nobody owned. Our sponsor and primary contact is Christopher Cole, General Manager, and requests to the client for people, data, or time should route through Jennifer Fletcher rather than going direct.</w:t>
      </w:r>
    </w:p>
    <w:p>
      <w:r>
        <w:t>A word on how we are splitting the work. Robert Miller will lead the current-state read of operations, tracing how each function is run on both sides so the plan reflects the floor and not the org chart. Jennifer Fletcher owns the integration plan and the client relationship, and will keep the work pointed at the decisions Christopher Cole and his team actually have to make. I will stand up and keep the integration tracker, the one page that shows every move, its owner, and whether it is on track, so we are all reading from the same sheet. If a workstream is not on that tracker, it is not being managed, so flag anything you are carrying that I have missed.</w:t>
      </w:r>
    </w:p>
    <w:p>
      <w:r>
        <w:t>On cadence: we will run a short weekly working session with the client, held to what is on track, what is stuck, and what needs a decision, and we will not let it turn into status theater. Between sessions the tracker is the source of truth, so keep your entries current and plain. The whole value of the cadence is that Christopher Cole can look at one page and know where the integration actually stands, not where we hope it stands. When something slips, say so early; a slip named this week is a scheduling problem, and the same slip found late is a fire.</w:t>
      </w:r>
    </w:p>
    <w:p>
      <w:pPr>
        <w:pStyle w:val="Heading2"/>
      </w:pPr>
      <w:r>
        <w:t>Workstreams</w:t>
      </w:r>
    </w:p>
    <w:p>
      <w:pPr>
        <w:pStyle w:val="ListBullet"/>
      </w:pPr>
      <w:r>
        <w:t>Organization and leadership. Confirm the combined reporting lines, name an owner for each function, and settle the handful of role questions that are holding other decisions up.</w:t>
      </w:r>
    </w:p>
    <w:p>
      <w:pPr>
        <w:pStyle w:val="ListBullet"/>
      </w:pPr>
      <w:r>
        <w:t>Finance and systems. Map the two finance functions and the systems behind them, and set the sequence for bringing reporting, the chart of accounts, and payables onto one basis.</w:t>
      </w:r>
    </w:p>
    <w:p>
      <w:pPr>
        <w:pStyle w:val="ListBullet"/>
      </w:pPr>
      <w:r>
        <w:t>Operations. Read how each side runs its core operations today, find the overlaps and the gaps, and plan the moves that consolidate without interrupting service.</w:t>
      </w:r>
    </w:p>
    <w:p>
      <w:pPr>
        <w:pStyle w:val="ListBullet"/>
      </w:pPr>
      <w:r>
        <w:t>Commercial continuity. Make sure customers, orders, and key contracts carry across the transition cleanly, and that no account goes quiet because no one was sure who owned it.</w:t>
      </w:r>
    </w:p>
    <w:p>
      <w:pPr>
        <w:pStyle w:val="ListBullet"/>
      </w:pPr>
      <w:r>
        <w:t>People and communications. Keep the people questions ahead of the rumor mill: retention of the staff who matter, a plain integration message, and a schedule for who hears what and when.</w:t>
      </w:r>
    </w:p>
    <w:p>
      <w:pPr>
        <w:pStyle w:val="Heading2"/>
      </w:pPr>
      <w:r>
        <w:t>Next Steps</w:t>
      </w:r>
    </w:p>
    <w:p>
      <w:pPr>
        <w:pStyle w:val="ListBullet"/>
      </w:pPr>
      <w:r>
        <w:t>Robert Miller will schedule the current-state interviews across both organizations and circulate the function list this week.</w:t>
      </w:r>
    </w:p>
    <w:p>
      <w:pPr>
        <w:pStyle w:val="ListBullet"/>
      </w:pPr>
      <w:r>
        <w:t>Robert Miller and Jennifer Fletcher will agree the interview guide so both sides are read the same way and the findings line up.</w:t>
      </w:r>
    </w:p>
    <w:p>
      <w:pPr>
        <w:pStyle w:val="ListBullet"/>
      </w:pPr>
      <w:r>
        <w:t>Jennifer Fletcher will set the weekly integration cadence with Christopher Cole and confirm who from the client joins each workstream.</w:t>
      </w:r>
    </w:p>
    <w:p>
      <w:pPr>
        <w:pStyle w:val="ListBullet"/>
      </w:pPr>
      <w:r>
        <w:t>I will stand up the integration tracker and send the template so owners can start logging moves against it.</w:t>
      </w:r>
    </w:p>
    <w:p>
      <w:pPr>
        <w:pStyle w:val="ListBullet"/>
      </w:pPr>
      <w:r>
        <w:t>Everyone: capture the open questions as they surface. The early weeks are when the awkward ones are cheapest to ask, so ask them.</w:t>
      </w:r>
    </w:p>
    <w:sectPr w:rsidR="00FC693F" w:rsidRPr="0006063C" w:rsidSect="00034616">
      <w:headerReference w:type="first" r:id="rId9"/>
      <w:headerReference w:type="default" r:id="rId10"/>
      <w:footerReference w:type="default" r:id="rId11"/>
      <w:footerReference w:type="first" r:id="rId12"/>
      <w:pgSz w:w="12240" w:h="15840"/>
      <w:pgMar w:top="1440" w:right="180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b/>
        <w:color w:val="1E4D2B"/>
        <w:sz w:val="28"/>
      </w:rPr>
      <w:t>Pinebrook Advisory Group LLC</w:t>
    </w:r>
  </w:p>
  <w:p>
    <w:r>
      <w:rPr>
        <w:sz w:val="18"/>
      </w:rPr>
      <w:t>www.pinebrookadvisory.com</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Pinebrook Advisory Group LLC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Kickoff Memo: Integration Support for Reeves, Miller and Thompson</dc:title>
  <dc:subject/>
  <dc:creator>Cynthia Ball</dc:creator>
  <cp:keywords/>
  <dc:description>generated by python-docx</dc:description>
  <cp:lastModifiedBy>Cynthia Ball</cp:lastModifiedBy>
  <cp:revision>1</cp:revision>
  <dcterms:created xsi:type="dcterms:W3CDTF">2021-04-08T09:00:00Z</dcterms:created>
  <dcterms:modified xsi:type="dcterms:W3CDTF">2021-04-08T09:00:00Z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rgSmithSynthetic">
    <vt:lpwstr>true</vt:lpwstr>
  </property>
</Properties>
</file>