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Working Session Minutes: Integration Support</w:t>
      </w:r>
    </w:p>
    <w:p>
      <w:r>
        <w:t>Subject: Integration support for Reeves, Miller and Thompson</w:t>
        <w:br/>
        <w:t>Recorded by: Jennifer Fletcher</w:t>
      </w:r>
    </w:p>
    <w:p>
      <w:pPr>
        <w:pStyle w:val="Heading2"/>
      </w:pPr>
      <w:r>
        <w:t>Attendees</w:t>
      </w:r>
    </w:p>
    <w:p>
      <w:pPr>
        <w:pStyle w:val="ListBullet"/>
      </w:pPr>
      <w:r>
        <w:t>Jennifer Fletcher, Senior Consultant, Pinebrook Advisory Group</w:t>
      </w:r>
    </w:p>
    <w:p>
      <w:pPr>
        <w:pStyle w:val="ListBullet"/>
      </w:pPr>
      <w:r>
        <w:t>Cynthia Ball, Analyst, Pinebrook Advisory Group</w:t>
      </w:r>
    </w:p>
    <w:p>
      <w:pPr>
        <w:pStyle w:val="ListBullet"/>
      </w:pPr>
      <w:r>
        <w:t>Robert Miller, Principal Consultant, Pinebrook Advisory Group</w:t>
      </w:r>
    </w:p>
    <w:p>
      <w:pPr>
        <w:pStyle w:val="ListBullet"/>
      </w:pPr>
      <w:r>
        <w:t>Christopher Cole, General Manager, Reeves, Miller and Thompson</w:t>
      </w:r>
    </w:p>
    <w:p>
      <w:pPr>
        <w:pStyle w:val="Heading2"/>
      </w:pPr>
      <w:r>
        <w:t>Discussion</w:t>
      </w:r>
    </w:p>
    <w:p>
      <w:r>
        <w:t>The session took stock at roughly the midpoint of the engagement. The current-state read is behind us: Robert Miller walked the group through how each core function runs on both sides, and the integration plan we built off that read is now the working document, with an owner and a measure of done against every move. Seven months in total means the plan has to be more than half real by now, and it is; what remains is turning read-and-plan into done. The purpose of today was to confirm what has landed, what is stuck, and where a decision from Christopher Cole would unblock the next step.</w:t>
      </w:r>
    </w:p>
    <w:p>
      <w:r>
        <w:t>Two workstreams are moving well. The combined reporting lines are largely settled, and the finance team has the first consolidated management report coming together on a single basis, which was the piece a great deal downstream was waiting on. Cynthia Ball showed the tracker, which now carries every integration move on one page; she made the blunt but fair point that a few owners are logging status generously, and we agreed that on track has to mean on track to the measure of done, not to good intentions. Robert Miller flagged that the two operations still run on different systems and that the cutover is the single hardest item in front of us, harder than the plan first assumed. For now both sides keep their own systems in parallel, which is safe but doubles the work in a few back-office corners, so the sooner we can sequence the cutover the sooner that drag comes off the team. He would rather we treat it as a project of its own than let it hide inside the operations workstream, and the group agreed.</w:t>
      </w:r>
    </w:p>
    <w:p>
      <w:r>
        <w:t>The people and commercial threads got real attention. Christopher Cole raised two retention questions on the acquired side that are worth getting ahead of, and we agreed the honest move is to talk with those individuals directly rather than let uncertainty do the deciding for us. We also touched on communications: the acquired staff have heard enough to be curious and not enough to be settled, and I will get a plain message in front of them rather than let the quiet fill with guesses. On commercial continuity, a handful of larger accounts are still not cleanly assigned to an owner after the close, and I took the point that leaving that ambiguous is exactly how a good account goes quiet. Nothing today changed the direction of the work; the plan is holding, and the value now is in closing the open items before they compound.</w:t>
      </w:r>
    </w:p>
    <w:p>
      <w:pPr>
        <w:pStyle w:val="Heading2"/>
      </w:pPr>
      <w:r>
        <w:t>Action 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Action</w:t>
            </w:r>
          </w:p>
        </w:tc>
        <w:tc>
          <w:tcPr>
            <w:tcW w:type="dxa" w:w="2880"/>
          </w:tcPr>
          <w:p>
            <w:r>
              <w:rPr>
                <w:b/>
              </w:rPr>
              <w:t>Owner</w:t>
            </w:r>
          </w:p>
        </w:tc>
        <w:tc>
          <w:tcPr>
            <w:tcW w:type="dxa" w:w="2880"/>
          </w:tcPr>
          <w:p>
            <w:r>
              <w:rPr>
                <w:b/>
              </w:rPr>
              <w:t>Target</w:t>
            </w:r>
          </w:p>
        </w:tc>
      </w:tr>
      <w:tr>
        <w:tc>
          <w:tcPr>
            <w:tcW w:type="dxa" w:w="2880"/>
          </w:tcPr>
          <w:p>
            <w:r>
              <w:t>Break the systems cutover out as its own tracked project, with a phased plan</w:t>
            </w:r>
          </w:p>
        </w:tc>
        <w:tc>
          <w:tcPr>
            <w:tcW w:type="dxa" w:w="2880"/>
          </w:tcPr>
          <w:p>
            <w:r>
              <w:t>Robert Miller</w:t>
            </w:r>
          </w:p>
        </w:tc>
        <w:tc>
          <w:tcPr>
            <w:tcW w:type="dxa" w:w="2880"/>
          </w:tcPr>
          <w:p>
            <w:r>
              <w:t>Before the next working session</w:t>
            </w:r>
          </w:p>
        </w:tc>
      </w:tr>
      <w:tr>
        <w:tc>
          <w:tcPr>
            <w:tcW w:type="dxa" w:w="2880"/>
          </w:tcPr>
          <w:p>
            <w:r>
              <w:t>Complete the first consolidated management report on a single basis</w:t>
            </w:r>
          </w:p>
        </w:tc>
        <w:tc>
          <w:tcPr>
            <w:tcW w:type="dxa" w:w="2880"/>
          </w:tcPr>
          <w:p>
            <w:r>
              <w:t>Cynthia Ball</w:t>
            </w:r>
          </w:p>
        </w:tc>
        <w:tc>
          <w:tcPr>
            <w:tcW w:type="dxa" w:w="2880"/>
          </w:tcPr>
          <w:p>
            <w:r>
              <w:t>Within two weeks</w:t>
            </w:r>
          </w:p>
        </w:tc>
      </w:tr>
      <w:tr>
        <w:tc>
          <w:tcPr>
            <w:tcW w:type="dxa" w:w="2880"/>
          </w:tcPr>
          <w:p>
            <w:r>
              <w:t>Tighten the tracker so status reflects the measure of done</w:t>
            </w:r>
          </w:p>
        </w:tc>
        <w:tc>
          <w:tcPr>
            <w:tcW w:type="dxa" w:w="2880"/>
          </w:tcPr>
          <w:p>
            <w:r>
              <w:t>Cynthia Ball</w:t>
            </w:r>
          </w:p>
        </w:tc>
        <w:tc>
          <w:tcPr>
            <w:tcW w:type="dxa" w:w="2880"/>
          </w:tcPr>
          <w:p>
            <w:r>
              <w:t>This week</w:t>
            </w:r>
          </w:p>
        </w:tc>
      </w:tr>
      <w:tr>
        <w:tc>
          <w:tcPr>
            <w:tcW w:type="dxa" w:w="2880"/>
          </w:tcPr>
          <w:p>
            <w:r>
              <w:t>Frame the two retention conversations and the message for each</w:t>
            </w:r>
          </w:p>
        </w:tc>
        <w:tc>
          <w:tcPr>
            <w:tcW w:type="dxa" w:w="2880"/>
          </w:tcPr>
          <w:p>
            <w:r>
              <w:t>Jennifer Fletcher</w:t>
            </w:r>
          </w:p>
        </w:tc>
        <w:tc>
          <w:tcPr>
            <w:tcW w:type="dxa" w:w="2880"/>
          </w:tcPr>
          <w:p>
            <w:r>
              <w:t>Before the next working session</w:t>
            </w:r>
          </w:p>
        </w:tc>
      </w:tr>
      <w:tr>
        <w:tc>
          <w:tcPr>
            <w:tcW w:type="dxa" w:w="2880"/>
          </w:tcPr>
          <w:p>
            <w:r>
              <w:t>Assign every key account to a named owner after the close</w:t>
            </w:r>
          </w:p>
        </w:tc>
        <w:tc>
          <w:tcPr>
            <w:tcW w:type="dxa" w:w="2880"/>
          </w:tcPr>
          <w:p>
            <w:r>
              <w:t>Christopher Cole</w:t>
            </w:r>
          </w:p>
        </w:tc>
        <w:tc>
          <w:tcPr>
            <w:tcW w:type="dxa" w:w="2880"/>
          </w:tcPr>
          <w:p>
            <w:r>
              <w:t>Within two weeks</w:t>
            </w:r>
          </w:p>
        </w:tc>
      </w:tr>
    </w:tbl>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Pinebrook Advisory Group LLC</w:t>
    </w:r>
  </w:p>
  <w:p>
    <w:r>
      <w:rPr>
        <w:sz w:val="18"/>
      </w:rPr>
      <w:t>www.pinebrookadvisory.com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Pinebrook Advisory Group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Integration Support for Reeves, Miller and Thompson</dc:title>
  <dc:subject/>
  <dc:creator>Jennifer Fletcher</dc:creator>
  <cp:keywords/>
  <dc:description>generated by python-docx</dc:description>
  <cp:lastModifiedBy>Jennifer Fletcher</cp:lastModifiedBy>
  <cp:revision>1</cp:revision>
  <dcterms:created xsi:type="dcterms:W3CDTF">2021-06-23T09:00:00Z</dcterms:created>
  <dcterms:modified xsi:type="dcterms:W3CDTF">2021-06-23T09:00:00Z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