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Integration Support</w:t>
      </w:r>
    </w:p>
    <w:p>
      <w:r>
        <w:t>Subject: Integration support for Reeves, Miller and Thompson</w:t>
        <w:br/>
        <w:t>Recorded by: Jennifer Fletcher</w:t>
      </w:r>
    </w:p>
    <w:p>
      <w:pPr>
        <w:pStyle w:val="Heading2"/>
      </w:pPr>
      <w:r>
        <w:t>Attendees</w:t>
      </w:r>
    </w:p>
    <w:p>
      <w:pPr>
        <w:pStyle w:val="ListBullet"/>
      </w:pPr>
      <w:r>
        <w:t>Jennifer Fletcher, Principal Consultant, Pinebrook Advisory Group</w:t>
      </w:r>
    </w:p>
    <w:p>
      <w:pPr>
        <w:pStyle w:val="ListBullet"/>
      </w:pPr>
      <w:r>
        <w:t>Cynthia Ball, Analyst, Pinebrook Advisory Group</w:t>
      </w:r>
    </w:p>
    <w:p>
      <w:pPr>
        <w:pStyle w:val="ListBullet"/>
      </w:pPr>
      <w:r>
        <w:t>Robert Miller, Principal Consultant, Pinebrook Advisory Group</w:t>
      </w:r>
    </w:p>
    <w:p>
      <w:pPr>
        <w:pStyle w:val="ListBullet"/>
      </w:pPr>
      <w:r>
        <w:t>Christopher Cole, General Manager, Reeves, Miller and Thompson</w:t>
      </w:r>
    </w:p>
    <w:p>
      <w:pPr>
        <w:pStyle w:val="Heading2"/>
      </w:pPr>
      <w:r>
        <w:t>Discussion</w:t>
      </w:r>
    </w:p>
    <w:p>
      <w:r>
        <w:t>With the engagement in its later stretch, the session was less about new problems and more about closing well. Most of the integration plan is behind us. The combined reporting lines are in place and working, financial reporting is running on a single basis, and the systems cutover that we flagged at the midpoint as the hardest move is complete, with the two operations now on common systems and the early wrinkles worked out. Robert Miller was candid that the cutover took more effort than the original plan assumed, which is exactly why breaking it out as its own project was the right call. It is the right time to be pedantic about done: a move that works while we are in the room but has not run a full cycle on its own is not finished, and we said so plainly about two of the items still open.</w:t>
      </w:r>
    </w:p>
    <w:p>
      <w:r>
        <w:t>The remaining work is tail items and stabilization rather than new fronts. Cynthia Ball walked the tracker, which now shows the large majority of moves closed to their measure of done and a short list still open, mostly items that need a few weeks of the combined organization actually running before we can call them settled. She noted, fairly, that a couple of the closed items deserve one more look before the handoff, not because we doubt them but because the managers who will own them afterward have not yet run them unaided. The two retention conversations on the acquired side landed well, and the key accounts that were unassigned at the midpoint now each have a named owner, which Christopher Cole confirmed from his side. I made the point, and the group agreed, that the test of this integration is not that the moves are checked off but that they hold once we step back.</w:t>
      </w:r>
    </w:p>
    <w:p>
      <w:r>
        <w:t>Most of the discussion was about handoff. The plan, the tracker, and the routines we built need to belong to Reeves, Miller and Thompson's own managers, not to us, so that the integration keeps its pace after the engagement closes. We agreed on a short closeout pack: the final state of each workstream, the handful of items still maturing with a named owner and a target on the client's side, and the two or three matters leadership will want to keep an eye on. We also agreed it should be short enough that a busy manager will actually read it and specific enough that no one has to guess who owns what once we are gone. Christopher Cole asked that we walk his managers through it in a working session rather than hand over a binder, which is the right instinct and how the changes will actually stick.</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Prepare the integration closeout pack: final state, open items, and owners</w:t>
            </w:r>
          </w:p>
        </w:tc>
        <w:tc>
          <w:tcPr>
            <w:tcW w:type="dxa" w:w="2880"/>
          </w:tcPr>
          <w:p>
            <w:r>
              <w:t>Cynthia Ball</w:t>
            </w:r>
          </w:p>
        </w:tc>
        <w:tc>
          <w:tcPr>
            <w:tcW w:type="dxa" w:w="2880"/>
          </w:tcPr>
          <w:p>
            <w:r>
              <w:t>Before the next working session</w:t>
            </w:r>
          </w:p>
        </w:tc>
      </w:tr>
      <w:tr>
        <w:tc>
          <w:tcPr>
            <w:tcW w:type="dxa" w:w="2880"/>
          </w:tcPr>
          <w:p>
            <w:r>
              <w:t>Confirm the systems cutover is stable through a full reporting cycle</w:t>
            </w:r>
          </w:p>
        </w:tc>
        <w:tc>
          <w:tcPr>
            <w:tcW w:type="dxa" w:w="2880"/>
          </w:tcPr>
          <w:p>
            <w:r>
              <w:t>Robert Miller</w:t>
            </w:r>
          </w:p>
        </w:tc>
        <w:tc>
          <w:tcPr>
            <w:tcW w:type="dxa" w:w="2880"/>
          </w:tcPr>
          <w:p>
            <w:r>
              <w:t>Within two weeks</w:t>
            </w:r>
          </w:p>
        </w:tc>
      </w:tr>
      <w:tr>
        <w:tc>
          <w:tcPr>
            <w:tcW w:type="dxa" w:w="2880"/>
          </w:tcPr>
          <w:p>
            <w:r>
              <w:t>Schedule the handoff working session with the client's managers</w:t>
            </w:r>
          </w:p>
        </w:tc>
        <w:tc>
          <w:tcPr>
            <w:tcW w:type="dxa" w:w="2880"/>
          </w:tcPr>
          <w:p>
            <w:r>
              <w:t>Jennifer Fletcher</w:t>
            </w:r>
          </w:p>
        </w:tc>
        <w:tc>
          <w:tcPr>
            <w:tcW w:type="dxa" w:w="2880"/>
          </w:tcPr>
          <w:p>
            <w:r>
              <w:t>Before the next working session</w:t>
            </w:r>
          </w:p>
        </w:tc>
      </w:tr>
      <w:tr>
        <w:tc>
          <w:tcPr>
            <w:tcW w:type="dxa" w:w="2880"/>
          </w:tcPr>
          <w:p>
            <w:r>
              <w:t>Name a client-side owner and target for each item still maturing</w:t>
            </w:r>
          </w:p>
        </w:tc>
        <w:tc>
          <w:tcPr>
            <w:tcW w:type="dxa" w:w="2880"/>
          </w:tcPr>
          <w:p>
            <w:r>
              <w:t>Christopher Cole</w:t>
            </w:r>
          </w:p>
        </w:tc>
        <w:tc>
          <w:tcPr>
            <w:tcW w:type="dxa" w:w="2880"/>
          </w:tcPr>
          <w:p>
            <w:r>
              <w:t>Within two weeks</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Integration Support for Reeves, Miller and Thompson</dc:title>
  <dc:subject/>
  <dc:creator>Jennifer Fletcher</dc:creator>
  <cp:keywords/>
  <dc:description>generated by python-docx</dc:description>
  <cp:lastModifiedBy>Jennifer Fletcher</cp:lastModifiedBy>
  <cp:revision>1</cp:revision>
  <dcterms:created xsi:type="dcterms:W3CDTF">2021-09-21T09:00:00Z</dcterms:created>
  <dcterms:modified xsi:type="dcterms:W3CDTF">2021-09-21T09:00:00Z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