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Pinebrook Advisory Group</w:t>
      </w:r>
    </w:p>
    <w:p>
      <w:r>
        <w:t>Pinebrook Advisory Group is a management consulting firm of five people, and we mean to keep it that size. The size is the strategy. It lets a partner stay on every engagement from start to finish, it keeps our clients out of the hands of a rotating bench of juniors, and it enforces the discipline that makes our work worth paying for: we take on only what we can do well, we keep the scope tight, and we hand back decisions rather than binders.</w:t>
      </w:r>
    </w:p>
    <w:p>
      <w:r>
        <w:t>We work with mid-market operating companies, the businesses that make, move, and sell real things and that have grown to the point where the way they run needs a hard, honest look. Over the past three years that has meant a steady handful of engagements a year, each one led by a partner and staffed by people who do the analysis themselves. The problems change from one client to the next. The method does not: we work from evidence, we say what we find plainly, and we recommend only what we would be willing to carry out ourselves. We have stayed in the middle market on purpose. It is where a firm our size can come to know a client's operation in real depth, and where clear, practical advice still changes the trajectory of a business rather than getting lost in a much larger machine.</w:t>
      </w:r>
    </w:p>
    <w:p>
      <w:pPr>
        <w:pStyle w:val="Heading2"/>
      </w:pPr>
      <w:r>
        <w:t>What We Do</w:t>
      </w:r>
    </w:p>
    <w:p>
      <w:r>
        <w:t>Our work falls into three areas. Operational reviews are the core of the practice: mapping how work actually gets done across a company's key functions, finding where cost, time, and quality are being lost, and turning that into a short, prioritized set of changes. Pricing studies look at how a company prices and where margin is leaking, so that discipline replaces habit in the places that most affect the bottom line. Post-acquisition integration work helps a buyer fold an acquired business in without breaking what made it worth buying. Most clients come to us with one of these problems clearly in view; often the work that matters most is the problem sitting right next to it.</w:t>
      </w:r>
    </w:p>
    <w:p>
      <w:pPr>
        <w:pStyle w:val="Heading2"/>
      </w:pPr>
      <w:r>
        <w:t>The Team</w:t>
      </w:r>
    </w:p>
    <w:p>
      <w:r>
        <w:t>The firm is deliberately flat. A partner leads each engagement and answers for the result, and the day-to-day is carried by senior and principal consultants and an analyst who do the mapping, the data work, and the writing themselves. There is no layer between the people who meet the client and the people who do the work, because at five people they are the same people. It is the arrangement that lets us promise a client the partner's attention and actually keep the promise.</w:t>
      </w:r>
    </w:p>
    <w:p>
      <w:pPr>
        <w:pStyle w:val="Heading2"/>
      </w:pPr>
      <w:r>
        <w:t>Selected Engagements</w:t>
      </w:r>
    </w:p>
    <w:p>
      <w:r>
        <w:t>The firm's first operational review was for Johnson and Sons, an operating company whose processes had not kept pace with its growth. The pattern of that work, close to the operation and grounded in what we could observe rather than in what a manual claimed, set the template for the reviews that followed. Since then our engagements have included work for Dean PLC and Reeves, Miller and Thompson, across the range of problems described above. In each case the shape of the result was the same: a clear read on the situation, a handful of recommendations the client believed in, and a leadership working session to make sure the conclusions were understood and owned before we handed them over.</w:t>
      </w:r>
    </w:p>
    <w:p>
      <w:pPr>
        <w:pStyle w:val="Heading2"/>
      </w:pPr>
      <w:r>
        <w:t>How We Run an Engagement</w:t>
      </w:r>
    </w:p>
    <w:p>
      <w:r>
        <w:t>Every engagement starts the same way, with the objective stated plainly in the client's own words, so that we solve the problem you have and not the one that is easiest to study. From there the work is direct. We observe the operation, we talk with the people who run it, and we reconcile what we see against the numbers the company already produces. We keep the client informed as we go, because no client of ours should be surprised at the readout. At the close you get a short written findings report, a prioritized set of recommendations, and a working session where we walk your leadership through both. The engagement is over when you have what you need to act, not when the hours run out.</w:t>
      </w:r>
    </w:p>
    <w:p>
      <w:r>
        <w:t>If your company is at the point where how it runs deserves a hard, outside look, that is our work, and the fastest way to find out whether we are the right firm for it is a direct conversation. We will tell you honestly whether it is a good fit. If it is not, we will point you somewhere better.</w:t>
      </w:r>
    </w:p>
    <w:p>
      <w:r>
        <w:t>Daniel Jones</w:t>
        <w:br/>
        <w:t>Managing Partner</w:t>
        <w:br/>
        <w:t>Pinebrook Advisory Group</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Daniel Jones</dc:creator>
  <cp:keywords/>
  <dc:description>generated by python-docx</dc:description>
  <cp:lastModifiedBy>Daniel Jones</cp:lastModifiedBy>
  <cp:revision>1</cp:revision>
  <dcterms:created xsi:type="dcterms:W3CDTF">2022-08-15T09:00:00Z</dcterms:created>
  <dcterms:modified xsi:type="dcterms:W3CDTF">2022-08-15T09:00:00Z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