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Michelle Rose, Lisa Flores, Pamela Rojas</w:t>
        <w:br/>
        <w:t>From: Daniel Valenzuela</w:t>
        <w:br/>
        <w:t>Re: Kickoff -- Corporate Positioning for Barrera Group</w:t>
      </w:r>
    </w:p>
    <w:p>
      <w:r>
        <w:t>We are underway on the positioning engagement for Barrera Group, which commenced on February 15, 2017. Our client contact is Mary Frank, Director of Operations, and her sign-off is the one we route to. The object of the engagement is a clear, defensible position and the language to carry it through the announcements ahead. This memo is here to get us pointed the same way before the work spreads out. We are at the very start, so nothing below is settled; treat it as the plan of record until we change it, which we will.</w:t>
      </w:r>
    </w:p>
    <w:p>
      <w:r>
        <w:t>A word on how I want this one run, because the value of a positioning engagement leaks out through small inconsistencies more than through any single misstep. We keep one version of the story, we agree it in writing, and we do not let a helpful edit from one corner quietly contradict a line already cleared in another. If you are unsure whether something is settled, assume it is not and ask. That is cheaper every time than unwinding it after it has gone out.</w:t>
      </w:r>
    </w:p>
    <w:p>
      <w:pPr>
        <w:pStyle w:val="Heading2"/>
      </w:pPr>
      <w:r>
        <w:t>Workstreams</w:t>
      </w:r>
    </w:p>
    <w:p>
      <w:pPr>
        <w:pStyle w:val="ListBullet"/>
      </w:pPr>
      <w:r>
        <w:t>Messaging framework. Michelle Rose owns the first draft: three to five core messages, agreed in writing and built off the kickoff conversation, ready for internal review by the end of next week. It is the spine everything else hangs from, so it goes first.</w:t>
      </w:r>
    </w:p>
    <w:p>
      <w:pPr>
        <w:pStyle w:val="ListBullet"/>
      </w:pPr>
      <w:r>
        <w:t>Audience and stakeholder map. Who currently holds a version of the Barrera Group story, inside the company and out, and where we need to correct it or reinforce it. I will start this and hand pieces to Michelle Rose as it firms up. The map tells us where the framework has to land, not just what it should say.</w:t>
      </w:r>
    </w:p>
    <w:p>
      <w:pPr>
        <w:pStyle w:val="ListBullet"/>
      </w:pPr>
      <w:r>
        <w:t>Announcement timeline. A working calendar of what is said when, held loosely for now because the dates will move. We align to the client's timing, never to ours, and we keep the calendar current enough that no one is guessing at what comes next.</w:t>
      </w:r>
    </w:p>
    <w:p>
      <w:pPr>
        <w:pStyle w:val="ListBullet"/>
      </w:pPr>
      <w:r>
        <w:t>Engagement operations. Lisa Flores will set the billing cadence and the file structure so the paper trail is clean from the first week, and Pamela Rojas will own scheduling, the shared mailbox, and keeping every contact point with Mary Frank in one place. If it is not filed where the two of them can find it, treat it as lost.</w:t>
      </w:r>
    </w:p>
    <w:p>
      <w:pPr>
        <w:pStyle w:val="Heading2"/>
      </w:pPr>
      <w:r>
        <w:t>Cadence</w:t>
      </w:r>
    </w:p>
    <w:p>
      <w:r>
        <w:t>We hold a short internal check every week to keep the workstreams honest against each other, and I will carry a plain status to Mary Frank on the same rhythm so the client is never learning of a change after the fact. Anything that slips, flag it early. A problem raised on the day it appears is a scheduling note; the same problem raised a week later is an apology.</w:t>
      </w:r>
    </w:p>
    <w:p>
      <w:pPr>
        <w:pStyle w:val="Heading2"/>
      </w:pPr>
      <w:r>
        <w:t>Next Steps</w:t>
      </w:r>
    </w:p>
    <w:p>
      <w:pPr>
        <w:pStyle w:val="ListBullet"/>
      </w:pPr>
      <w:r>
        <w:t>Pamela Rojas to book the internal working session this week and to send Mary Frank two or three windows for the first client check-in.</w:t>
      </w:r>
    </w:p>
    <w:p>
      <w:pPr>
        <w:pStyle w:val="ListBullet"/>
      </w:pPr>
      <w:r>
        <w:t>Lisa Flores to open the engagement file and confirm the billing schedule against the signed letter.</w:t>
      </w:r>
    </w:p>
    <w:p>
      <w:pPr>
        <w:pStyle w:val="ListBullet"/>
      </w:pPr>
      <w:r>
        <w:t>Michelle Rose to circulate the first messaging draft for internal review before it goes anywhere near the client.</w:t>
      </w:r>
    </w:p>
    <w:p>
      <w:pPr>
        <w:pStyle w:val="ListBullet"/>
      </w:pPr>
      <w:r>
        <w:t>I will keep Mary Frank warm in the meantime and flag anything from her that moves the plan.</w:t>
      </w:r>
    </w:p>
    <w:p>
      <w:r>
        <w:t>Keep the client-facing channel tight: anything going to Mary Frank or anyone else at Barrera Group comes through me or Michelle Rose first. Thanks, all. This is a good engagement to be 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Corporate Positioning for Barrera Group</dc:title>
  <dc:subject/>
  <dc:creator>Daniel Valenzuela</dc:creator>
  <cp:keywords/>
  <dc:description>generated by python-docx</dc:description>
  <cp:lastModifiedBy>Daniel Valenzuela</cp:lastModifiedBy>
  <cp:revision>1</cp:revision>
  <dcterms:created xsi:type="dcterms:W3CDTF">2017-02-18T09:00:00Z</dcterms:created>
  <dcterms:modified xsi:type="dcterms:W3CDTF">2017-02-18T09:00:00Z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