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Laura Bradley, Michelle Black</w:t>
        <w:br/>
        <w:t>From: Michael Morris</w:t>
        <w:br/>
        <w:t>Re: Kickoff -- Investor Relations Program for Castaneda, Adams and Davis</w:t>
      </w:r>
    </w:p>
    <w:p>
      <w:r>
        <w:t>We are underway on the investor relations program for Castaneda, Adams and Davis, which commences on July 7, 2018. Our client contact is Lauren Heath, Chief Operating Officer at Castaneda, Adams and Davis, and her sign-off is the one we route to. The object of the program is plain: a clear, consistent story for the company in front of its investors, and the discipline to keep telling it the same way through the quarters ahead. This memo is here to get us pointed the same direction before the work spreads out. We are at the very start, so nothing below is fixed; treat it as the plan of record until we change it.</w:t>
      </w:r>
    </w:p>
    <w:p>
      <w:r>
        <w:t>A word on how I want this one run, because the value of an investor relations program leaks out through small inconsistencies more than through any single misstep. A figure framed one way in a script and another way in a Q&amp;A is exactly the kind of thing an analyst remembers, and remembers out loud. We keep one version of the story, we agree it in writing, and we do not let a helpful edit in one corner quietly contradict a line already cleared in another. When something is genuinely a judgment call, I would rather we lay out the two clean options and pick one than leave it open and hope it resolves itself. We have a full program ahead of us, so the early weeks matter more than they look; the habits we set now are the ones we will be living with in the quarters that count.</w:t>
      </w:r>
    </w:p>
    <w:p>
      <w:pPr>
        <w:pStyle w:val="Heading2"/>
      </w:pPr>
      <w:r>
        <w:t>Workstreams</w:t>
      </w:r>
    </w:p>
    <w:p>
      <w:pPr>
        <w:pStyle w:val="ListBullet"/>
      </w:pPr>
      <w:r>
        <w:t>Messaging framework. Laura Bradley owns the first draft: a short set of core messages for the Castaneda, Adams and Davis story, agreed in writing and built off the kickoff conversation. It is the spine everything else hangs from, so it goes first.</w:t>
      </w:r>
    </w:p>
    <w:p>
      <w:pPr>
        <w:pStyle w:val="ListBullet"/>
      </w:pPr>
      <w:r>
        <w:t>Supporting material. Michelle Black will assemble the facts and proof points behind each message, keeping what is confirmed cleanly apart from what is still open, so a draft can be built without guessing at a number.</w:t>
      </w:r>
    </w:p>
    <w:p>
      <w:pPr>
        <w:pStyle w:val="ListBullet"/>
      </w:pPr>
      <w:r>
        <w:t>Investor calendar. A working schedule of the earnings and announcement moments ahead, held loosely for now because the dates will move. We align to the company's timing, never to ours.</w:t>
      </w:r>
    </w:p>
    <w:p>
      <w:pPr>
        <w:pStyle w:val="ListBullet"/>
      </w:pPr>
      <w:r>
        <w:t>Client cadence. A simple rhythm of status to Lauren Heath so Castaneda, Adams and Davis is never learning of a change after the fact. Every contact point with her gets filed in one place.</w:t>
      </w:r>
    </w:p>
    <w:p>
      <w:pPr>
        <w:pStyle w:val="Heading2"/>
      </w:pPr>
      <w:r>
        <w:t>Cadence</w:t>
      </w:r>
    </w:p>
    <w:p>
      <w:r>
        <w:t>We will hold a short internal check each week to keep the workstreams honest against each other, and I will carry a plain status to Lauren Heath on the same rhythm so the client is never learning of a change after the fact. Anything that slips, flag it early. A problem raised on the day it appears is a scheduling note; the same problem raised a week later is an apology. If you are unsure whether something is settled, assume it is not and ask, because that is cheaper every time than unwinding it after it has gone out.</w:t>
      </w:r>
    </w:p>
    <w:p>
      <w:pPr>
        <w:pStyle w:val="Heading2"/>
      </w:pPr>
      <w:r>
        <w:t>Next Steps</w:t>
      </w:r>
    </w:p>
    <w:p>
      <w:pPr>
        <w:pStyle w:val="ListBullet"/>
      </w:pPr>
      <w:r>
        <w:t>Laura Bradley to circulate the first messaging draft for internal review before it goes anywhere near the client.</w:t>
      </w:r>
    </w:p>
    <w:p>
      <w:pPr>
        <w:pStyle w:val="ListBullet"/>
      </w:pPr>
      <w:r>
        <w:t>Michelle Black to open the fact file, source each proof point, and flag any figure we cannot yet stand behind.</w:t>
      </w:r>
    </w:p>
    <w:p>
      <w:pPr>
        <w:pStyle w:val="ListBullet"/>
      </w:pPr>
      <w:r>
        <w:t>I will set the first check-in with Lauren Heath, agree the review rhythm with her, and keep her warm in the meantime.</w:t>
      </w:r>
    </w:p>
    <w:p>
      <w:r>
        <w:t>Keep the client-facing channel tight: anything going to Lauren Heath or anyone else at Castaneda, Adams and Davis comes through me first. Thanks, both. This is a good program to get right.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Investor Relations Program for Castaneda, Adams and Davis</dc:title>
  <dc:subject/>
  <dc:creator>Michael Morris</dc:creator>
  <cp:keywords/>
  <dc:description>generated by python-docx</dc:description>
  <cp:lastModifiedBy>Michael Morris</cp:lastModifiedBy>
  <cp:revision>1</cp:revision>
  <dcterms:created xsi:type="dcterms:W3CDTF">2018-07-10T09:00:00Z</dcterms:created>
  <dcterms:modified xsi:type="dcterms:W3CDTF">2018-07-10T09:00:00Z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