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Status Report: Investor Relations Program</w:t>
      </w:r>
    </w:p>
    <w:p>
      <w:r>
        <w:t>Prepared for the leadership of Castaneda, Adams and Davis by Michael Morris, Partner, Ashcombe Advisory Partners. This report covers the program through the current period, at roughly the halfway mark of the term.</w:t>
      </w:r>
    </w:p>
    <w:p>
      <w:pPr>
        <w:pStyle w:val="Heading2"/>
      </w:pPr>
      <w:r>
        <w:t>Summary</w:t>
      </w:r>
    </w:p>
    <w:p>
      <w:r>
        <w:t>The program is on plan. The core messaging framework is settled and in use internally, the supporting proof points are largely confirmed, and we are now moving from building the story to putting it to work in front of investors. Nothing on the timeline has slipped in a way that concerns us, and the few open items are the ordinary loose ends of a program at its midpoint rather than warning signs. The shape of the second half is straightforward: less writing, more testing, and the disciplined work of keeping one version of the story as more people begin to tell it. Where a judgment call is coming, this report names it plainly so there are no surprises later, which is the way we prefer to run an account and the way we said we would run this one.</w:t>
      </w:r>
    </w:p>
    <w:p>
      <w:pPr>
        <w:pStyle w:val="Heading2"/>
      </w:pPr>
      <w:r>
        <w:t>Accomplishments This Period</w:t>
      </w:r>
    </w:p>
    <w:p>
      <w:r>
        <w:t>Laura Bradley finalized the messaging framework and circulated the clean version for leadership review. The core statement is tighter than the first draft, each claim now sits over a confirmed proof point, and the two lines that read as too promotional for an investor audience have been pulled. Michelle Black built out the supporting fact library behind the framework, keeping what is confirmed cleanly separate from what is still open, so that any draft that goes out rests only on figures the company can stand behind. Two open items remain on the operations side; the client has agreed to route the missing figures, and neither holds up the framework as a whole. Together those two pieces give us a story that is both consistent and defensible, which is the whole point of the exercise at this stage and the footing everything in the second half is built on.</w:t>
      </w:r>
    </w:p>
    <w:p>
      <w:pPr>
        <w:pStyle w:val="Heading2"/>
      </w:pPr>
      <w:r>
        <w:t>Budget</w:t>
      </w:r>
    </w:p>
    <w:p>
      <w:r>
        <w:t>Against the program budget of $47,000, we are roughly half spent at the halfway point, which tracks the plan closely. The fixed fee keeps our attention on the outcome rather than the clock, and we do not expect to come back for more; the remaining budget covers the investor-facing work still ahead, which is the heavier half by effort even if not by fee. Any out-of-pocket costs continue to be approved in advance and itemized, and there are none of note this period. If anything on the horizon looked likely to change that picture, this is where you would read about it first.</w:t>
      </w:r>
    </w:p>
    <w:p>
      <w:pPr>
        <w:pStyle w:val="Heading2"/>
      </w:pPr>
      <w:r>
        <w:t>Upcoming Work</w:t>
      </w:r>
    </w:p>
    <w:p>
      <w:r>
        <w:t>The next phase moves the framework outward. We will prepare the first investor-facing materials under the new frame, ready the earnings and announcement language for the cycles ahead, and rehearse the harder questions the framing invites, because the moment to find the weak answer is in a rehearsal and not on a call. Laura Bradley will lead the drafting and Michelle Black will keep the proof library current against it, so that as the calendar fills, every piece that leaves the firm for the market has been checked against the same settled story. We will also begin sequencing the announcement calendar in earnest, holding it against the company's timing rather than ours, and we will bring you a working version of that calendar at the next review so the decisions about order are made together and in good time rather than under pressure.</w:t>
      </w:r>
    </w:p>
    <w:p>
      <w:pPr>
        <w:pStyle w:val="Heading2"/>
      </w:pPr>
      <w:r>
        <w:t>Risks and Watch Items</w:t>
      </w:r>
    </w:p>
    <w:p>
      <w:r>
        <w:t>Two things are worth watching. The first is the drift that creeps in once a framework meets daily use: as the Castaneda, Adams and Davis team begins speaking in the new language, small variations will appear, and our job is to catch them before they harden into two versions of the story. The second is timing. Several announcement windows ahead are not fully in the company's control, and if two compress into the same stretch we will need to make a call on sequence quickly. Neither is a problem today; both are the kind of thing that is cheap to manage early and expensive to manage late, which is why they are on this page.</w:t>
      </w:r>
    </w:p>
    <w:p>
      <w:r>
        <w:t>Prepared by Michael Morris, Partner, Ashcombe Advisory Partners.</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Ashcombe Advisory Partners LLC</w:t>
    </w:r>
  </w:p>
  <w:p>
    <w:r>
      <w:rPr>
        <w:sz w:val="18"/>
      </w:rPr>
      <w:t>www.ashcombeadvisory.com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Ashcombe Advisory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Status Report: Investor Relations Program for Castaneda, Adams and Davis</dc:title>
  <dc:subject/>
  <dc:creator>Michael Morris</dc:creator>
  <cp:keywords/>
  <dc:description>generated by python-docx</dc:description>
  <cp:lastModifiedBy>Michael Morris</cp:lastModifiedBy>
  <cp:revision>1</cp:revision>
  <dcterms:created xsi:type="dcterms:W3CDTF">2018-11-15T09:00:00Z</dcterms:created>
  <dcterms:modified xsi:type="dcterms:W3CDTF">2018-11-15T09:00:00Z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