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Investor Relations Program for Castaneda, Adams and Davis</w:t>
      </w:r>
    </w:p>
    <w:p>
      <w:r>
        <w:t>Prepared by Michael Morris, Partner, Ashcombe Advisory Partners, for the leadership team at Castaneda, Adams and Davis. This is the last scheduled update before we bring the investor relations program to a close, and it is a short one. The work is where I hoped it would be at this stage, and nothing over the past few weeks has changed my view of the finish.</w:t>
      </w:r>
    </w:p>
    <w:p>
      <w:pPr>
        <w:pStyle w:val="Heading2"/>
      </w:pPr>
      <w:r>
        <w:t>Where the program stands</w:t>
      </w:r>
    </w:p>
    <w:p>
      <w:r>
        <w:t>We are in the final stretch of the engagement. The investor messaging is written, reviewed, and approved in its main lines, and the supporting materials are assembled and in your hands. What remains is execution and timing rather than drafting, which is the position I wanted us in before the close. The program remains within the agreed budget of $47,000, and I do not expect that to change in the weeks left to us. The scope has held steady throughout, and the hours have landed where we planned for them to land. I raise the budget here only so there is no surprise at the end: we will close inside it, with a small margin held back for the announcement support rather than the drafting, which is where late requests tend to arrive.</w:t>
      </w:r>
    </w:p>
    <w:p>
      <w:pPr>
        <w:pStyle w:val="Heading2"/>
      </w:pPr>
      <w:r>
        <w:t>Completed this period</w:t>
      </w:r>
    </w:p>
    <w:p>
      <w:r>
        <w:t>The bulk of this period went into closing out the investor-facing materials and getting the full set through review clean.</w:t>
      </w:r>
    </w:p>
    <w:p>
      <w:pPr>
        <w:pStyle w:val="ListBullet"/>
      </w:pPr>
      <w:r>
        <w:t>Laura Bradley closed out the investor question-and-answer set and the short-form boilerplate, so the language your team will use in front of investors now reads in one voice rather than as a set of separate claims.</w:t>
      </w:r>
    </w:p>
    <w:p>
      <w:pPr>
        <w:pStyle w:val="ListBullet"/>
      </w:pPr>
      <w:r>
        <w:t>Michelle Black assembled the supporting materials pack, the fact base, the proof points, and the disclosure timeline, so every claim can be traced back to a confirmed source before it goes external.</w:t>
      </w:r>
    </w:p>
    <w:p>
      <w:pPr>
        <w:pStyle w:val="ListBullet"/>
      </w:pPr>
      <w:r>
        <w:t>We completed a full round of internal review and cleared the comments, so what reaches your desk arrives clean rather than in pieces.</w:t>
      </w:r>
    </w:p>
    <w:p>
      <w:pPr>
        <w:pStyle w:val="ListBullet"/>
      </w:pPr>
      <w:r>
        <w:t>We agreed the announcement sequence in principle with your team at the last working session, which leaves only the timing to settle.</w:t>
      </w:r>
    </w:p>
    <w:p>
      <w:pPr>
        <w:pStyle w:val="ListBullet"/>
      </w:pPr>
      <w:r>
        <w:t>We fixed the order of the two briefings, internal first and external second, so your managers hear the messaging before the market does rather than the same day.</w:t>
      </w:r>
    </w:p>
    <w:p>
      <w:pPr>
        <w:pStyle w:val="Heading2"/>
      </w:pPr>
      <w:r>
        <w:t>The last stretch</w:t>
      </w:r>
    </w:p>
    <w:p>
      <w:r>
        <w:t>The remaining work is short and mostly about sequencing and handover.</w:t>
      </w:r>
    </w:p>
    <w:p>
      <w:pPr>
        <w:pStyle w:val="ListBullet"/>
      </w:pPr>
      <w:r>
        <w:t>Hold the leadership briefing before any external release, so your own team is not reading the messaging cold.</w:t>
      </w:r>
    </w:p>
    <w:p>
      <w:pPr>
        <w:pStyle w:val="ListBullet"/>
      </w:pPr>
      <w:r>
        <w:t>Fix the announcement window once the two outstanding figures are cleared on your side.</w:t>
      </w:r>
    </w:p>
    <w:p>
      <w:pPr>
        <w:pStyle w:val="ListBullet"/>
      </w:pPr>
      <w:r>
        <w:t>Run the external release and the investor follow-up in the order we agreed.</w:t>
      </w:r>
    </w:p>
    <w:p>
      <w:pPr>
        <w:pStyle w:val="ListBullet"/>
      </w:pPr>
      <w:r>
        <w:t>Hand over the final materials with a short routing note, so your team can keep the messaging current after we step back.</w:t>
      </w:r>
    </w:p>
    <w:p>
      <w:pPr>
        <w:pStyle w:val="Heading2"/>
      </w:pPr>
      <w:r>
        <w:t>One decision left, and my recommendation</w:t>
      </w:r>
    </w:p>
    <w:p>
      <w:r>
        <w:t>There is really one open decision, and it is about timing rather than substance. You can announce in the current window, which keeps the momentum we have built and puts the story out while the messaging is fresh; or you can wait for the next reporting cycle, which is cleaner on disclosure but risks the narrative going stale and inviting questions about the delay. Both are defensible. My recommendation is the earlier window. The materials are ready, the risk of waiting is higher than the risk of moving, and a short, well-prepared announcement now is easier to control than one that has had time to leak. If your team would rather wait, we can hold the materials without any loss to the quality of the work; the only course I would advise against is leaving the decision open much longer, because the supporting figures age and the calendar starts to make the choice for us.</w:t>
      </w:r>
    </w:p>
    <w:p>
      <w:pPr>
        <w:pStyle w:val="Heading2"/>
      </w:pPr>
      <w:r>
        <w:t>Risks</w:t>
      </w:r>
    </w:p>
    <w:p>
      <w:r>
        <w:t>The one risk worth naming is the two figures still to be cleared on your side. They do not hold up the rest of the work, but they gate anything that goes external, and they are the most common reason an otherwise-ready announcement slips. A short answer on them in the next week keeps every option open and keeps the close on the even footing the rest of the program has kept.</w:t>
      </w:r>
    </w:p>
    <w:p>
      <w:r>
        <w:t>It has been a straightforward program to run, in large part because your team has been quick to decide when it mattered. Laura Bradley or I will follow up early next week to put the leadership briefing on the calendar, and we will send the final materials ahead of it so nothing is read cold in the room. As ever, anything you would like reflected in the messaging can come straight to me.</w:t>
      </w:r>
    </w:p>
    <w:p/>
    <w:p>
      <w:r>
        <w:t>_____________________________</w:t>
      </w:r>
    </w:p>
    <w:p>
      <w:r>
        <w:rPr>
          <w:b/>
        </w:rPr>
        <w:t>Michael Morris</w:t>
      </w:r>
    </w:p>
    <w:p>
      <w:r>
        <w:t>Partner</w:t>
      </w:r>
    </w:p>
    <w:p>
      <w:r>
        <w:t>Date: March 15, 2019</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Investor Relations Program for Castaneda, Adams and Davis</dc:title>
  <dc:subject/>
  <dc:creator>Michael Morris</dc:creator>
  <cp:keywords/>
  <dc:description>generated by python-docx</dc:description>
  <cp:lastModifiedBy>Michael Morris</cp:lastModifiedBy>
  <cp:revision>1</cp:revision>
  <dcterms:created xsi:type="dcterms:W3CDTF">2019-03-15T09:00:00Z</dcterms:created>
  <dcterms:modified xsi:type="dcterms:W3CDTF">2019-03-15T09:00:00Z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