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Meeting Minutes: Investor Relations Program for Castaneda, Adams and Davis</w:t>
      </w:r>
    </w:p>
    <w:p>
      <w:pPr>
        <w:pStyle w:val="Heading2"/>
      </w:pPr>
      <w:r>
        <w:t>Attendees</w:t>
      </w:r>
    </w:p>
    <w:p>
      <w:pPr>
        <w:pStyle w:val="ListBullet"/>
      </w:pPr>
      <w:r>
        <w:t>Michael Morris, Partner</w:t>
      </w:r>
    </w:p>
    <w:p>
      <w:pPr>
        <w:pStyle w:val="ListBullet"/>
      </w:pPr>
      <w:r>
        <w:t>Laura Bradley, Senior Associate</w:t>
      </w:r>
    </w:p>
    <w:p>
      <w:pPr>
        <w:pStyle w:val="ListBullet"/>
      </w:pPr>
      <w:r>
        <w:t>Michelle Black, Communications Analyst</w:t>
      </w:r>
    </w:p>
    <w:p>
      <w:pPr>
        <w:pStyle w:val="ListBullet"/>
      </w:pPr>
      <w:r>
        <w:t>Lauren Heath, Chief Operating Officer, Castaneda, Adams and Davis</w:t>
      </w:r>
    </w:p>
    <w:p>
      <w:pPr>
        <w:pStyle w:val="Heading2"/>
      </w:pPr>
      <w:r>
        <w:t>Discussion</w:t>
      </w:r>
    </w:p>
    <w:p>
      <w:r>
        <w:t>The session took stock of the investor relations program at roughly its midpoint and was called to settle the messaging framework and line up the work of the next phase. Michael Morris opened by walking the group through the framework, now largely settled after the last round of internal review. Mike's read was that the core story holds, and that the work from here is to pressure-test it against the harder investor questions rather than to keep reworking the language. He asked that the group treat the framework as closed unless a real problem surfaces, so the effort moves outward rather than circling the same paragraphs.</w:t>
      </w:r>
    </w:p>
    <w:p>
      <w:r>
        <w:t>Laura Bradley reviewed the framework claim by claim. Most of the supporting lines are confirmed; two items on the operations side are still open, and Lauren Heath agreed to route the missing figures from the Castaneda, Adams and Davis team by the end of the week. Michelle Black noted where each proof point currently sits and flagged the one claim that cannot yet be sourced, so it is held out of any draft until it can be. The group agreed a claim without a confirmed proof point does not travel, however good it reads, and that the fact file is the single record of what is settled.</w:t>
      </w:r>
    </w:p>
    <w:p>
      <w:r>
        <w:t>Discussion then turned to the investor calendar and the risk of drift. Lauren Heath raised the concern that the internal and external language stay in step as leadership begins using the new framing in day-to-day conversation, and asked how the firm would catch small variations before they harden. Michael Morris proposed that the weekly status thread carry any change to a cleared line, so there is one place to look. The group agreed to keep that thread running and to reconvene for a full working session once the first investor-facing materials are drafted. Any interim decision is to be confirmed in writing on the thread so nothing turns on a hallway conversation.</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Target</w:t>
            </w:r>
          </w:p>
        </w:tc>
      </w:tr>
      <w:tr>
        <w:tc>
          <w:tcPr>
            <w:tcW w:type="dxa" w:w="2880"/>
          </w:tcPr>
          <w:p>
            <w:r>
              <w:t>Finalize the messaging framework and circulate the clean version</w:t>
            </w:r>
          </w:p>
        </w:tc>
        <w:tc>
          <w:tcPr>
            <w:tcW w:type="dxa" w:w="2880"/>
          </w:tcPr>
          <w:p>
            <w:r>
              <w:t>Laura Bradley</w:t>
            </w:r>
          </w:p>
        </w:tc>
        <w:tc>
          <w:tcPr>
            <w:tcW w:type="dxa" w:w="2880"/>
          </w:tcPr>
          <w:p>
            <w:r>
              <w:t>This week</w:t>
            </w:r>
          </w:p>
        </w:tc>
      </w:tr>
      <w:tr>
        <w:tc>
          <w:tcPr>
            <w:tcW w:type="dxa" w:w="2880"/>
          </w:tcPr>
          <w:p>
            <w:r>
              <w:t>Confirm the two open operations proof points and update the fact file</w:t>
            </w:r>
          </w:p>
        </w:tc>
        <w:tc>
          <w:tcPr>
            <w:tcW w:type="dxa" w:w="2880"/>
          </w:tcPr>
          <w:p>
            <w:r>
              <w:t>Michelle Black</w:t>
            </w:r>
          </w:p>
        </w:tc>
        <w:tc>
          <w:tcPr>
            <w:tcW w:type="dxa" w:w="2880"/>
          </w:tcPr>
          <w:p>
            <w:r>
              <w:t>Next week</w:t>
            </w:r>
          </w:p>
        </w:tc>
      </w:tr>
      <w:tr>
        <w:tc>
          <w:tcPr>
            <w:tcW w:type="dxa" w:w="2880"/>
          </w:tcPr>
          <w:p>
            <w:r>
              <w:t>Route the missing operations figures from the client side</w:t>
            </w:r>
          </w:p>
        </w:tc>
        <w:tc>
          <w:tcPr>
            <w:tcW w:type="dxa" w:w="2880"/>
          </w:tcPr>
          <w:p>
            <w:r>
              <w:t>Lauren Heath</w:t>
            </w:r>
          </w:p>
        </w:tc>
        <w:tc>
          <w:tcPr>
            <w:tcW w:type="dxa" w:w="2880"/>
          </w:tcPr>
          <w:p>
            <w:r>
              <w:t>End of week</w:t>
            </w:r>
          </w:p>
        </w:tc>
      </w:tr>
      <w:tr>
        <w:tc>
          <w:tcPr>
            <w:tcW w:type="dxa" w:w="2880"/>
          </w:tcPr>
          <w:p>
            <w:r>
              <w:t>Sequence the first investor-facing materials against the frame</w:t>
            </w:r>
          </w:p>
        </w:tc>
        <w:tc>
          <w:tcPr>
            <w:tcW w:type="dxa" w:w="2880"/>
          </w:tcPr>
          <w:p>
            <w:r>
              <w:t>Michael Morris</w:t>
            </w:r>
          </w:p>
        </w:tc>
        <w:tc>
          <w:tcPr>
            <w:tcW w:type="dxa" w:w="2880"/>
          </w:tcPr>
          <w:p>
            <w:r>
              <w:t>Next session</w:t>
            </w:r>
          </w:p>
        </w:tc>
      </w:tr>
      <w:tr>
        <w:tc>
          <w:tcPr>
            <w:tcW w:type="dxa" w:w="2880"/>
          </w:tcPr>
          <w:p>
            <w:r>
              <w:t>Log any change to a cleared line on the weekly status thread</w:t>
            </w:r>
          </w:p>
        </w:tc>
        <w:tc>
          <w:tcPr>
            <w:tcW w:type="dxa" w:w="2880"/>
          </w:tcPr>
          <w:p>
            <w:r>
              <w:t>Michelle Black</w:t>
            </w:r>
          </w:p>
        </w:tc>
        <w:tc>
          <w:tcPr>
            <w:tcW w:type="dxa" w:w="2880"/>
          </w:tcPr>
          <w:p>
            <w:r>
              <w:t>Ongoing</w:t>
            </w:r>
          </w:p>
        </w:tc>
      </w:tr>
    </w:tbl>
    <w:p>
      <w:r>
        <w:t>Minutes prepared by Michelle Black.</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Investor Relations Program for Castaneda, Adams and Davis</dc:title>
  <dc:subject/>
  <dc:creator>Michelle Black</dc:creator>
  <cp:keywords/>
  <dc:description>generated by python-docx</dc:description>
  <cp:lastModifiedBy>Michelle Black</cp:lastModifiedBy>
  <cp:revision>1</cp:revision>
  <dcterms:created xsi:type="dcterms:W3CDTF">2018-10-19T09:00:00Z</dcterms:created>
  <dcterms:modified xsi:type="dcterms:W3CDTF">2018-10-19T09:00:00Z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