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Meeting Minutes: Investor Relations Program for Castaneda, Adams and Davis</w:t>
      </w:r>
    </w:p>
    <w:p>
      <w:r>
        <w:t>This note records the working session held to review the investor relations program and to settle the items still open before the program closes. Michael Morris chaired; the purpose was to confirm the state of the investor-facing materials, agree the shape of the announcement, and assign the last pieces of work. It keeps what the group confirmed apart from what is still to be resolved, so each point can be carried straight into the next round of drafting without a second reading.</w:t>
      </w:r>
    </w:p>
    <w:p>
      <w:pPr>
        <w:pStyle w:val="Heading2"/>
      </w:pPr>
      <w:r>
        <w:t>Attendees</w:t>
      </w:r>
    </w:p>
    <w:p>
      <w:pPr>
        <w:pStyle w:val="ListBullet"/>
      </w:pPr>
      <w:r>
        <w:t>Michael Morris, Partner, Ashcombe Advisory Partners</w:t>
      </w:r>
    </w:p>
    <w:p>
      <w:pPr>
        <w:pStyle w:val="ListBullet"/>
      </w:pPr>
      <w:r>
        <w:t>Laura Bradley, Senior Associate, Ashcombe Advisory Partners</w:t>
      </w:r>
    </w:p>
    <w:p>
      <w:pPr>
        <w:pStyle w:val="ListBullet"/>
      </w:pPr>
      <w:r>
        <w:t>Michelle Black, Communications Analyst, Ashcombe Advisory Partners</w:t>
      </w:r>
    </w:p>
    <w:p>
      <w:pPr>
        <w:pStyle w:val="ListBullet"/>
      </w:pPr>
      <w:r>
        <w:t>Lauren Heath, Chief Operating Officer, Castaneda, Adams and Davis</w:t>
      </w:r>
    </w:p>
    <w:p>
      <w:pPr>
        <w:pStyle w:val="Heading2"/>
      </w:pPr>
      <w:r>
        <w:t>Discussion</w:t>
      </w:r>
    </w:p>
    <w:p>
      <w:r>
        <w:t>Michael Morris opened by setting out where the program stands. The core investor messaging is drafted and has been through one internal review, so the remaining work is approval and sequencing rather than new writing. Lauren Heath confirmed that her leadership team is comfortable with the direction and asked only that the final materials stay close to the language already agreed, which is the sign that the framework will hold when it meets an audience.</w:t>
      </w:r>
    </w:p>
    <w:p>
      <w:r>
        <w:t>Laura Bradley then walked the group through the investor question-and-answer set and the short-form boilerplate. Most of the answers are settled. Two rest on figures that Castaneda, Adams and Davis has not yet cleared internally, and those were marked open rather than reworked in the room. The group agreed that drafting can continue around them, but that nothing carrying those figures goes external until they are confirmed.</w:t>
      </w:r>
    </w:p>
    <w:p>
      <w:r>
        <w:t>Discussion then moved to the announcement calendar. The group agreed the sequence in principle: a briefing for the leadership team, then the external release, then the investor follow-up. The window itself is still open on the client side and was left for Lauren Heath to confirm once the outstanding figures are cleared. Michael Morris noted that the materials are ready and that the choice now is one of timing rather than content.</w:t>
      </w:r>
    </w:p>
    <w:p>
      <w:r>
        <w:t>The group closed on internal readiness. Laura Bradley raised the point that the messaging investors hear and the messaging the client's own staff hear need to stay in step, so the leadership briefing was placed ahead of the external release rather than alongside it. Lauren Heath agreed and asked that a short internal note go to her managers on the same day the announcement is made. No media outreach was scheduled at this session; the group will return to press handling once the window is fixed.</w:t>
      </w:r>
    </w:p>
    <w:p>
      <w:pPr>
        <w:pStyle w:val="Heading2"/>
      </w:pPr>
      <w:r>
        <w:t>Confirmed</w:t>
      </w:r>
    </w:p>
    <w:p>
      <w:pPr>
        <w:pStyle w:val="ListBullet"/>
      </w:pPr>
      <w:r>
        <w:t>The core investor messaging and its main proof points are agreed and will not be reopened.</w:t>
      </w:r>
    </w:p>
    <w:p>
      <w:pPr>
        <w:pStyle w:val="ListBullet"/>
      </w:pPr>
      <w:r>
        <w:t>The announcement sequence is settled: internal briefing, external release, investor follow-up.</w:t>
      </w:r>
    </w:p>
    <w:p>
      <w:pPr>
        <w:pStyle w:val="ListBullet"/>
      </w:pPr>
      <w:r>
        <w:t>The supporting materials pack is complete apart from the two open figures.</w:t>
      </w:r>
    </w:p>
    <w:p>
      <w:pPr>
        <w:pStyle w:val="Heading2"/>
      </w:pPr>
      <w:r>
        <w:t>Open</w:t>
      </w:r>
    </w:p>
    <w:p>
      <w:pPr>
        <w:pStyle w:val="ListBullet"/>
      </w:pPr>
      <w:r>
        <w:t>Two figures in the question-and-answer set await internal clearance on the client side.</w:t>
      </w:r>
    </w:p>
    <w:p>
      <w:pPr>
        <w:pStyle w:val="ListBullet"/>
      </w:pPr>
      <w:r>
        <w:t>The announcement window is not yet fixed and depends on those figures.</w:t>
      </w:r>
    </w:p>
    <w:p>
      <w:pPr>
        <w:pStyle w:val="ListBullet"/>
      </w:pPr>
      <w:r>
        <w:t>The date of the leadership briefing is to be scheduled.</w:t>
      </w:r>
    </w:p>
    <w:p>
      <w:pPr>
        <w:pStyle w:val="Heading2"/>
      </w:pPr>
      <w:r>
        <w:t>Action Items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Owner</w:t>
            </w:r>
          </w:p>
        </w:tc>
        <w:tc>
          <w:tcPr>
            <w:tcW w:type="dxa" w:w="2880"/>
          </w:tcPr>
          <w:p>
            <w:r>
              <w:rPr>
                <w:b/>
              </w:rPr>
              <w:t>Target</w:t>
            </w:r>
          </w:p>
        </w:tc>
      </w:tr>
      <w:tr>
        <w:tc>
          <w:tcPr>
            <w:tcW w:type="dxa" w:w="2880"/>
          </w:tcPr>
          <w:p>
            <w:r>
              <w:t>Circulate the final investor messaging for sign-off</w:t>
            </w:r>
          </w:p>
        </w:tc>
        <w:tc>
          <w:tcPr>
            <w:tcW w:type="dxa" w:w="2880"/>
          </w:tcPr>
          <w:p>
            <w:r>
              <w:t>Laura Bradley</w:t>
            </w:r>
          </w:p>
        </w:tc>
        <w:tc>
          <w:tcPr>
            <w:tcW w:type="dxa" w:w="2880"/>
          </w:tcPr>
          <w:p>
            <w:r>
              <w:t>This week</w:t>
            </w:r>
          </w:p>
        </w:tc>
      </w:tr>
      <w:tr>
        <w:tc>
          <w:tcPr>
            <w:tcW w:type="dxa" w:w="2880"/>
          </w:tcPr>
          <w:p>
            <w:r>
              <w:t>Clear the two outstanding figures internally</w:t>
            </w:r>
          </w:p>
        </w:tc>
        <w:tc>
          <w:tcPr>
            <w:tcW w:type="dxa" w:w="2880"/>
          </w:tcPr>
          <w:p>
            <w:r>
              <w:t>Lauren Heath</w:t>
            </w:r>
          </w:p>
        </w:tc>
        <w:tc>
          <w:tcPr>
            <w:tcW w:type="dxa" w:w="2880"/>
          </w:tcPr>
          <w:p>
            <w:r>
              <w:t>Before external work begins</w:t>
            </w:r>
          </w:p>
        </w:tc>
      </w:tr>
      <w:tr>
        <w:tc>
          <w:tcPr>
            <w:tcW w:type="dxa" w:w="2880"/>
          </w:tcPr>
          <w:p>
            <w:r>
              <w:t>Assemble the supporting materials pack for review</w:t>
            </w:r>
          </w:p>
        </w:tc>
        <w:tc>
          <w:tcPr>
            <w:tcW w:type="dxa" w:w="2880"/>
          </w:tcPr>
          <w:p>
            <w:r>
              <w:t>Michelle Black</w:t>
            </w:r>
          </w:p>
        </w:tc>
        <w:tc>
          <w:tcPr>
            <w:tcW w:type="dxa" w:w="2880"/>
          </w:tcPr>
          <w:p>
            <w:r>
              <w:t>Next week</w:t>
            </w:r>
          </w:p>
        </w:tc>
      </w:tr>
      <w:tr>
        <w:tc>
          <w:tcPr>
            <w:tcW w:type="dxa" w:w="2880"/>
          </w:tcPr>
          <w:p>
            <w:r>
              <w:t>Confirm the announcement window</w:t>
            </w:r>
          </w:p>
        </w:tc>
        <w:tc>
          <w:tcPr>
            <w:tcW w:type="dxa" w:w="2880"/>
          </w:tcPr>
          <w:p>
            <w:r>
              <w:t>Lauren Heath</w:t>
            </w:r>
          </w:p>
        </w:tc>
        <w:tc>
          <w:tcPr>
            <w:tcW w:type="dxa" w:w="2880"/>
          </w:tcPr>
          <w:p>
            <w:r>
              <w:t>Following session</w:t>
            </w:r>
          </w:p>
        </w:tc>
      </w:tr>
      <w:tr>
        <w:tc>
          <w:tcPr>
            <w:tcW w:type="dxa" w:w="2880"/>
          </w:tcPr>
          <w:p>
            <w:r>
              <w:t>Schedule and hold the leadership briefing ahead of release</w:t>
            </w:r>
          </w:p>
        </w:tc>
        <w:tc>
          <w:tcPr>
            <w:tcW w:type="dxa" w:w="2880"/>
          </w:tcPr>
          <w:p>
            <w:r>
              <w:t>Michael Morris</w:t>
            </w:r>
          </w:p>
        </w:tc>
        <w:tc>
          <w:tcPr>
            <w:tcW w:type="dxa" w:w="2880"/>
          </w:tcPr>
          <w:p>
            <w:r>
              <w:t>To be scheduled</w:t>
            </w:r>
          </w:p>
        </w:tc>
      </w:tr>
    </w:tbl>
    <w:p>
      <w:r>
        <w:t>Minutes prepared by Michelle Black.</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Ashcombe Advisory Partners LLC</w:t>
    </w:r>
  </w:p>
  <w:p>
    <w:r>
      <w:rPr>
        <w:sz w:val="18"/>
      </w:rPr>
      <w:t>www.ashcombeadvisory.com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Ashcombe Advisory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Investor Relations Program for Castaneda, Adams and Davis</dc:title>
  <dc:subject/>
  <dc:creator>Michelle Black</dc:creator>
  <cp:keywords/>
  <dc:description>generated by python-docx</dc:description>
  <cp:lastModifiedBy>Michelle Black</cp:lastModifiedBy>
  <cp:revision>1</cp:revision>
  <dcterms:created xsi:type="dcterms:W3CDTF">2019-01-17T09:00:00Z</dcterms:created>
  <dcterms:modified xsi:type="dcterms:W3CDTF">2019-01-17T09:00:00Z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