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Reputation Audit for Gallegos, Pope and Marsh</w:t>
      </w:r>
    </w:p>
    <w:p>
      <w:pPr>
        <w:pStyle w:val="Heading2"/>
      </w:pPr>
      <w:r>
        <w:t>Summary</w:t>
      </w:r>
    </w:p>
    <w:p>
      <w:r>
        <w:t>The reputation audit for Gallegos, Pope and Marsh has reached the halfway mark, and it is where the plan expected it to be. The purpose of the engagement, set at the outset, is to establish how the company is understood by the audiences that matter and where that understanding diverges from how the company sees itself, so the messaging work that follows rests on evidence rather than assumption. At the midpoint the diagnostic half of that work is largely finished: the coverage is read, the internal record is in hand, and the stakeholder interviews are underway. What is left is to complete the interviews and turn the material into findings the leadership team can act on. The work is running within the $45,500 fixed fee set at the start, and nothing this period has changed the scope or the direction of it.</w:t>
      </w:r>
    </w:p>
    <w:p>
      <w:pPr>
        <w:pStyle w:val="Heading2"/>
      </w:pPr>
      <w:r>
        <w:t>Accomplishments This Period</w:t>
      </w:r>
    </w:p>
    <w:p>
      <w:r>
        <w:t>Kimberly Le completed a full read of the last two years of coverage, and it produced the clearest early finding of the audit: the company is discussed, by a wide margin, in terms of its leadership changes rather than its operating performance. That is a meaningful gap, because the investor materials lead with the operational story, and an audit exists precisely to surface that kind of distance between the outside view and the inside one. The read did more than confirm a suspicion; it showed us which outlets and which themes are shaping the current picture, and it set the agenda for the interviews now in progress.</w:t>
      </w:r>
    </w:p>
    <w:p>
      <w:r>
        <w:t>With the internal archive assembled, including the memos and all-hands material from the relevant period, we have been able to hold what was said inside the company against what reached the press. The early comparison supports the working view that the two drifted apart, and that the drift, not any single article, is where the engagement can do the most good. On that basis we consolidated the interview outline to one line of inquiry and opened the stakeholder conversations. Two are complete and the rest are scheduled; the introductions from your side made them straightforward to arrange, and I am grateful for that.</w:t>
      </w:r>
    </w:p>
    <w:p>
      <w:r>
        <w:t>On coordination, we have kept the work to a single status thread so every decision sits in one written place, and Michelle Rose has held the scheduling and the routing of anything that crosses to your side. Your team has been quick with the materials and the introductions we have asked for, which is a good part of why the Gallegos, Pope and Marsh audit sits on the timeline it does. The slow part of the work, the gathering and the reading, is largely behind us; from here the engagement turns on judgment more than collection.</w:t>
      </w:r>
    </w:p>
    <w:p>
      <w:pPr>
        <w:pStyle w:val="Heading2"/>
      </w:pPr>
      <w:r>
        <w:t>Upcoming Work</w:t>
      </w:r>
    </w:p>
    <w:p>
      <w:r>
        <w:t>The coming weeks are synthesis rather than collection. We will finish the remaining stakeholder interviews, then bring the coverage read, the internal record, and the interviews together into a single set of findings. Kimberly Le will lead the analysis, holding each conclusion against the evidence behind it before it reaches the draft, and I will shape the findings into a form the leadership team can read quickly and act on. Our aim for the next report is to have the findings substantially drafted, so the balance of the engagement can shift from what the audit found to what the company should do about it.</w:t>
      </w:r>
    </w:p>
    <w:p>
      <w:r>
        <w:t>We will keep the status thread current as the single record, and we will flag anything that moves the timeline the moment we see it rather than waiting for the next scheduled update. If a conversation on your side surfaces a voice we ought to add, there is still room in the schedule to take it in without pushing the end of the engagement.</w:t>
      </w:r>
    </w:p>
    <w:p>
      <w:pPr>
        <w:pStyle w:val="Heading2"/>
      </w:pPr>
      <w:r>
        <w:t>Risks</w:t>
      </w:r>
    </w:p>
    <w:p>
      <w:r>
        <w:t>There are two risks I want to put on the table, neither of them pressing today. The first is interview coverage: findings built on the people who were easiest to reach are weaker than findings built on the right people, so we would rather hold a slot open for a hard-to-schedule voice than close the interviews early. The second is the pull to treat the leadership-turnover finding as settled before the interviews have tested it; holding it as a hypothesis is what keeps the eventual recommendations honest. Both are handled by the way the work is sequenced. Costs remain inside the $45,500 fixed fee, and on the current scope I do not expect that to change.</w:t>
      </w:r>
    </w:p>
    <w:p>
      <w:r>
        <w:t>Happy to talk any of this through in more detail whenever it helps. Prepared by Michelle Rose.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Reputation Audit for Gallegos, Pope and Marsh</dc:title>
  <dc:subject/>
  <dc:creator>Michelle Rose</dc:creator>
  <cp:keywords/>
  <dc:description>generated by python-docx</dc:description>
  <cp:lastModifiedBy>Michelle Rose</cp:lastModifiedBy>
  <cp:revision>1</cp:revision>
  <dcterms:created xsi:type="dcterms:W3CDTF">2024-04-10T09:00:00Z</dcterms:created>
  <dcterms:modified xsi:type="dcterms:W3CDTF">2024-04-10T09:00:00Z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