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Crisis Communications for Lee, Rice and Adams</w:t>
      </w:r>
    </w:p>
    <w:p>
      <w:pPr>
        <w:pStyle w:val="Heading2"/>
      </w:pPr>
      <w:r>
        <w:t>Summary</w:t>
      </w:r>
    </w:p>
    <w:p>
      <w:r>
        <w:t>At the midpoint of the engagement, the Lee, Rice and Adams communications work is on plan. The position is settled, the holding lines have been tested in practice, and the focus has shifted from building the messages to holding to them and preparing for the questions still ahead. Nothing in the period changed the direction of the work, and the engagement is tracking within the budget of $46,500 agreed at the outset.</w:t>
      </w:r>
    </w:p>
    <w:p>
      <w:pPr>
        <w:pStyle w:val="Heading2"/>
      </w:pPr>
      <w:r>
        <w:t>Accomplishments This Period</w:t>
      </w:r>
    </w:p>
    <w:p>
      <w:r>
        <w:t>Since the last report the team completed and verified the full fact base and closed the two questions that had been open against source, so that every message now rests on something we can point to. Nancy Suarez finalized the core position and tightened the holding lines that had run long in early use, and the shorter versions have held up well where they have been needed. We produced a one-page summary of the live messages for day-to-day reference on your side, and we walked the audience map with your operations team so that everyone is working from the same list of who hears what, and in what order.</w:t>
      </w:r>
    </w:p>
    <w:p>
      <w:r>
        <w:t>We also put the anticipated-questions material into usable shape. For each audience we now have an agreed answer to the questions we can see coming and a holding response for the two or three we hope never arrive. That is the quiet part of a crisis engagement, and in my experience it is the part that earns its keep, because it turns a hard question into a decision already made rather than one made under pressure.</w:t>
      </w:r>
    </w:p>
    <w:p>
      <w:pPr>
        <w:pStyle w:val="Heading2"/>
      </w:pPr>
      <w:r>
        <w:t>Upcoming Work</w:t>
      </w:r>
    </w:p>
    <w:p>
      <w:r>
        <w:t>The second half of the engagement is about sequencing and readiness rather than new material. Over the coming weeks we will finalize the order in which the messages are used across audiences, rehearse the responses with the small group who may need to deliver them, and keep the fact base current against any new development. Nancy Suarez will maintain the master copy of the messages and date each change so there is never a question about the current version, and I will keep the weekly status thread running as the single record of decisions. We will also give the external references a consistency pass so the record reads the same way throughout.</w:t>
      </w:r>
    </w:p>
    <w:p>
      <w:pPr>
        <w:pStyle w:val="Heading2"/>
      </w:pPr>
      <w:r>
        <w:t>Risks</w:t>
      </w:r>
    </w:p>
    <w:p>
      <w:r>
        <w:t>Two risks are worth naming plainly. The first is drift: with the language settled, the natural temptation is to begin using it more freely than the plan allows, and internal discipline on sequence matters more now than it did at the start. The second is timing: a crisis rarely keeps to a calendar, and a development on the underlying matter could compress the schedule quickly. Neither is a cause for concern today, but both are the reason we hold the fact base current and the responses rehearsed rather than waiting to be asked. The work remains within the $46,500 budget, and I do not foresee that changing on the current scope.</w:t>
      </w:r>
    </w:p>
    <w:p>
      <w:r>
        <w:t>I am glad to walk any of this through in more detail at your convenience. Prepared by Amy Carter.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Crisis Communications for Lee, Rice and Adams</dc:title>
  <dc:subject/>
  <dc:creator>Amy Carter</dc:creator>
  <cp:keywords/>
  <dc:description>generated by python-docx</dc:description>
  <cp:lastModifiedBy>Amy Carter</cp:lastModifiedBy>
  <cp:revision>1</cp:revision>
  <dcterms:created xsi:type="dcterms:W3CDTF">2021-11-20T09:00:00Z</dcterms:created>
  <dcterms:modified xsi:type="dcterms:W3CDTF">2021-11-20T09:00:00Z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