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Crisis Communications for Lee, Rice and Adams</w:t>
      </w:r>
    </w:p>
    <w:p>
      <w:pPr>
        <w:pStyle w:val="Heading2"/>
      </w:pPr>
      <w:r>
        <w:t>Attendees</w:t>
      </w:r>
    </w:p>
    <w:p>
      <w:pPr>
        <w:pStyle w:val="ListBullet"/>
      </w:pPr>
      <w:r>
        <w:t>Amy Carter, Communications Associate</w:t>
      </w:r>
    </w:p>
    <w:p>
      <w:pPr>
        <w:pStyle w:val="ListBullet"/>
      </w:pPr>
      <w:r>
        <w:t>Nancy Suarez, Communications Associate</w:t>
      </w:r>
    </w:p>
    <w:p>
      <w:pPr>
        <w:pStyle w:val="ListBullet"/>
      </w:pPr>
      <w:r>
        <w:t>Megan Sutton, Director of Operations, Lee, Rice and Adams</w:t>
      </w:r>
    </w:p>
    <w:p>
      <w:pPr>
        <w:pStyle w:val="Heading2"/>
      </w:pPr>
      <w:r>
        <w:t>Discussion</w:t>
      </w:r>
    </w:p>
    <w:p>
      <w:r>
        <w:t>The headline: the acute phase is behind us, and this session was about landing the work well rather than fighting a fire. Most of what we built has now been used, it held, and the conversation has turned to what Lee, Rice and Adams keeps once we step back.</w:t>
      </w:r>
    </w:p>
    <w:p>
      <w:r>
        <w:t>Nancy Suarez reviewed how the holding lines and the core position performed through the period since the last session, noting that the shorter lines carried the load exactly as we hoped they would. Amy Carter walked the group through the fact base one last time to confirm nothing had drifted, and reported that the anticipated-questions material had covered the questions that actually came. Megan Sutton said leadership at Lee, Rice and Adams was satisfied with how the messaging had carried the matter, and asked what the company should institutionalize before the engagement closes.</w:t>
      </w:r>
    </w:p>
    <w:p>
      <w:r>
        <w:t>That question shaped the rest of the discussion. The group agreed the client should keep three things: the verified fact base, the message summary in its current one-page form, and a short protocol for who owns external language going forward. Nancy Suarez argued for keeping the protocol deliberately short, on the view that a page people actually read beats a binder they file, and the group agreed. Amy Carter noted a small number of external references that will need a final consistency pass so the record reads the same way throughout.</w:t>
      </w:r>
    </w:p>
    <w:p>
      <w:r>
        <w:t>On next steps, the group agreed to assemble a brief handover pack rather than let the materials scatter, and to hold one more working session to walk it through before the work concludes. Megan Sutton will confirm which internal owner inherits the message summary so it does not fall to no one.</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Draft the short go-forward protocol for external language</w:t>
            </w:r>
          </w:p>
        </w:tc>
        <w:tc>
          <w:tcPr>
            <w:tcW w:type="dxa" w:w="2880"/>
          </w:tcPr>
          <w:p>
            <w:r>
              <w:t>Nancy Suarez</w:t>
            </w:r>
          </w:p>
        </w:tc>
        <w:tc>
          <w:tcPr>
            <w:tcW w:type="dxa" w:w="2880"/>
          </w:tcPr>
          <w:p>
            <w:r>
              <w:t>This week</w:t>
            </w:r>
          </w:p>
        </w:tc>
      </w:tr>
      <w:tr>
        <w:tc>
          <w:tcPr>
            <w:tcW w:type="dxa" w:w="2880"/>
          </w:tcPr>
          <w:p>
            <w:r>
              <w:t>Final consistency pass on external references</w:t>
            </w:r>
          </w:p>
        </w:tc>
        <w:tc>
          <w:tcPr>
            <w:tcW w:type="dxa" w:w="2880"/>
          </w:tcPr>
          <w:p>
            <w:r>
              <w:t>Amy Carter</w:t>
            </w:r>
          </w:p>
        </w:tc>
        <w:tc>
          <w:tcPr>
            <w:tcW w:type="dxa" w:w="2880"/>
          </w:tcPr>
          <w:p>
            <w:r>
              <w:t>Next week</w:t>
            </w:r>
          </w:p>
        </w:tc>
      </w:tr>
      <w:tr>
        <w:tc>
          <w:tcPr>
            <w:tcW w:type="dxa" w:w="2880"/>
          </w:tcPr>
          <w:p>
            <w:r>
              <w:t>Assemble the handover pack of live materials</w:t>
            </w:r>
          </w:p>
        </w:tc>
        <w:tc>
          <w:tcPr>
            <w:tcW w:type="dxa" w:w="2880"/>
          </w:tcPr>
          <w:p>
            <w:r>
              <w:t>Amy Carter</w:t>
            </w:r>
          </w:p>
        </w:tc>
        <w:tc>
          <w:tcPr>
            <w:tcW w:type="dxa" w:w="2880"/>
          </w:tcPr>
          <w:p>
            <w:r>
              <w:t>Before the final session</w:t>
            </w:r>
          </w:p>
        </w:tc>
      </w:tr>
      <w:tr>
        <w:tc>
          <w:tcPr>
            <w:tcW w:type="dxa" w:w="2880"/>
          </w:tcPr>
          <w:p>
            <w:r>
              <w:t>Name the internal owner to inherit the message summary</w:t>
            </w:r>
          </w:p>
        </w:tc>
        <w:tc>
          <w:tcPr>
            <w:tcW w:type="dxa" w:w="2880"/>
          </w:tcPr>
          <w:p>
            <w:r>
              <w:t>Megan Sutton</w:t>
            </w:r>
          </w:p>
        </w:tc>
        <w:tc>
          <w:tcPr>
            <w:tcW w:type="dxa" w:w="2880"/>
          </w:tcPr>
          <w:p>
            <w:r>
              <w:t>Next session</w:t>
            </w:r>
          </w:p>
        </w:tc>
      </w:tr>
    </w:tbl>
    <w:p>
      <w:r>
        <w:t>Minutes prepared by Nancy Suarez.</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Crisis Communications for Lee, Rice and Adams</dc:title>
  <dc:subject/>
  <dc:creator>Nancy Suarez</dc:creator>
  <cp:keywords/>
  <dc:description>generated by python-docx</dc:description>
  <cp:lastModifiedBy>Nancy Suarez</cp:lastModifiedBy>
  <cp:revision>1</cp:revision>
  <dcterms:created xsi:type="dcterms:W3CDTF">2022-01-25T09:00:00Z</dcterms:created>
  <dcterms:modified xsi:type="dcterms:W3CDTF">2022-01-25T09:00:00Z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