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Ashcombe Advisory Partners</w:t>
      </w:r>
    </w:p>
    <w:p>
      <w:r>
        <w:t>Ashcombe Advisory Partners is a corporate communications and investor relations advisory, founded in 2014. We help companies say the right thing, to the right people, at the moment it matters most. Our clients are mid-market public companies and firms on their way to going public, and they come to us when what they are about to say carries weight: an earnings number, a change in leadership, a transaction, or a difficult week that has to be explained before it is misread. We are a small firm by design, and most of what we do never leaves an inbox.</w:t>
      </w:r>
    </w:p>
    <w:p>
      <w:r>
        <w:t>That is deliberate. A great deal of communications work is not the finished statement but the drafting, the routing, the sign-off, and the timing that get a company to that statement without a stumble, and we are comfortable living in that traffic. We would rather send a client three clear sentences today than a polished document next week. We hold to a plain house style throughout: whatever goes to a client answers the question in the first line, and hedges only where the facts genuinely hedge.</w:t>
      </w:r>
    </w:p>
    <w:p>
      <w:pPr>
        <w:pStyle w:val="Heading2"/>
      </w:pPr>
      <w:r>
        <w:t>What We Do</w:t>
      </w:r>
    </w:p>
    <w:p>
      <w:r>
        <w:t>Our work falls into a few related lines, and most engagements draw on more than one of them. What ties them together is a single discipline: one version of the story, told the same way to every audience, so that it holds under a hard question rather than coming apart the third time it is repeated.</w:t>
      </w:r>
    </w:p>
    <w:p>
      <w:pPr>
        <w:pStyle w:val="ListBullet"/>
      </w:pPr>
      <w:r>
        <w:t>Positioning and messaging. We settle the core story a company tells about itself and keep every audience hearing the same version of it, so the message holds its shape as more people repeat it.</w:t>
      </w:r>
    </w:p>
    <w:p>
      <w:pPr>
        <w:pStyle w:val="ListBullet"/>
      </w:pPr>
      <w:r>
        <w:t>Investor relations. We build and run the program that explains a company to its shareholders, analysts, and prospective investors, quarter after quarter and through each announcement in the calendar.</w:t>
      </w:r>
    </w:p>
    <w:p>
      <w:pPr>
        <w:pStyle w:val="ListBullet"/>
      </w:pPr>
      <w:r>
        <w:t>Announcement and disclosure work. We shape and time the moments that move a company's standing, results, leadership changes, transactions, and the occasional bad week, so the news lands the way it was meant to.</w:t>
      </w:r>
    </w:p>
    <w:p>
      <w:pPr>
        <w:pStyle w:val="ListBullet"/>
      </w:pPr>
      <w:r>
        <w:t>Reputation and readiness. We prepare companies for the harder questions before anyone asks them, and we are steadiest in the weeks when a timeline is slipping and a clear head is worth more than a clever line.</w:t>
      </w:r>
    </w:p>
    <w:p>
      <w:pPr>
        <w:pStyle w:val="Heading2"/>
      </w:pPr>
      <w:r>
        <w:t>Our Approach</w:t>
      </w:r>
    </w:p>
    <w:p>
      <w:r>
        <w:t>Our approach is plain, and we have used it for years. We begin by listening, to the people inside a company who own the numbers and the narrative, and to the outside audiences who already hold a view we may need to sharpen or correct. From there we agree a short set of core messages in writing, because a position that lives only in conversation drifts the moment three people repeat it. Then we build the material that carries those messages through the calendar ahead. When something is genuinely a judgment call, we would rather lay out two clean options and recommend one than leave it open and hope it resolves itself. We say less, and we make it hold.</w:t>
      </w:r>
    </w:p>
    <w:p>
      <w:pPr>
        <w:pStyle w:val="Heading2"/>
      </w:pPr>
      <w:r>
        <w:t>How We Work</w:t>
      </w:r>
    </w:p>
    <w:p>
      <w:r>
        <w:t>Each client relationship is a discrete engagement, opened with a signed letter and a short kickoff memo and then run, for the most part, over email. Our advisors carry two or three relationships at a time, backed by an operations team that keeps the schedules, the files, and the mailbox in order. Formal deliverables are sparse on purpose. We think a client should feel that we are close at hand and quick to answer, not that we are producing paper to prove we were in the room. The firm's character is in how it corresponds, not in how much it writes down.</w:t>
      </w:r>
    </w:p>
    <w:p>
      <w:pPr>
        <w:pStyle w:val="Heading2"/>
      </w:pPr>
      <w:r>
        <w:t>Representative Work</w:t>
      </w:r>
    </w:p>
    <w:p>
      <w:r>
        <w:t>A few examples give a truer sense of the range than any description can. We advised Barrera Group through a stretch when its story needed sharpening for a skeptical market, and we worked with Castaneda, Adams and Davis on the investor relations program behind a crowded announcement calendar. More recently we helped Lee, Rice and Adams reintroduce itself to investors around a change in direction, and we stood with Kirby-Taylor while it got a hard message out cleanly and on its own timing. These are illustrations of the kind of work we take on, not a roster of who we serve; each was a different problem, and each turned on the same discipline of getting the story right before it travels.</w:t>
      </w:r>
    </w:p>
    <w:p>
      <w:pPr>
        <w:pStyle w:val="Heading2"/>
      </w:pPr>
      <w:r>
        <w:t>The Firm</w:t>
      </w:r>
    </w:p>
    <w:p>
      <w:r>
        <w:t>Ashcombe Advisory Partners is led by Julie Hill, its Managing Partner, who sets the house style and reads the work that leaves the building. The bench around her is small, experienced, and chosen for judgment under pressure rather than for volume. If you are weighing whether we are the right fit for something on your horizon, the surest way to find out is to write to us and watch how we answer.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Hill</dc:creator>
  <cp:keywords/>
  <dc:description>generated by python-docx</dc:description>
  <cp:lastModifiedBy>Julie Hill</cp:lastModifiedBy>
  <cp:revision>1</cp:revision>
  <dcterms:created xsi:type="dcterms:W3CDTF">2023-03-16T09:00:00Z</dcterms:created>
  <dcterms:modified xsi:type="dcterms:W3CDTF">2023-03-16T09:00:00Z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