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Amy Carter</w:t>
      </w:r>
    </w:p>
    <w:p>
      <w:r>
        <w:t>Amy Carter joins Ashcombe Advisory Partners this week as a Communications Associate, and this record is for her file and for the people she will be working alongside. Amy sits with the advisory team, where she will support the drafting and approval work that carries most of our client engagements: assembling messaging documents, tracking versions and comments as a draft moves toward sign-off, and keeping the paper trail on an announcement straight from first outline to final release. It is careful, detailed work, and from what we saw of her in hiring, careful and detailed is exactly how she operates.</w:t>
      </w:r>
    </w:p>
    <w:p>
      <w:r>
        <w:t>Amy reports to Michael Morris, Partner, who will set her assignments and review her drafts before anything reaches a client. That is the right place for her to learn the work. Michael carries some of the firm's more sensitive accounts, and there is no better way to understand how we handle a delicate announcement than to watch one handled well. She should feel free to bring questions to anyone on the team, but Michael owns her workload and her development, and he is the person to go to when priorities collide.</w:t>
      </w:r>
    </w:p>
    <w:p>
      <w:r>
        <w:t>For the first few weeks the emphasis is on learning how we work rather than on turning out volume. Amy should read the engagement letter and kickoff memo for any client whose files she touches before she touches them, so she understands the scope she is working inside. Client information stays inside the firm, without exception: what we are working on, for whom, and when it will be announced are not topics for outside the office, including with people who already seem to know. Her workstation, email, and file access should be ready on day one, and if anything is missing she should say so rather than wait it out.</w:t>
      </w:r>
    </w:p>
    <w:p>
      <w:r>
        <w:t>Two things I ask of everyone who joins, and I will say them to Amy directly as well. Check your facts against the source before they go into a draft, every time, because a confident sentence built on a wrong number is worse than no sentence at all. And ask the question you think is too basic to ask; the associate who asks it early saves us all the version that has to be walked back later. Welcome aboard, Amy. We are glad to have you. Prepared by Julie Hill, Managing Partner, for the personnel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Amy Carter</dc:title>
  <dc:subject/>
  <dc:creator>Julie Hill</dc:creator>
  <cp:keywords/>
  <dc:description>generated by python-docx</dc:description>
  <cp:lastModifiedBy>Julie Hill</cp:lastModifiedBy>
  <cp:revision>1</cp:revision>
  <dcterms:created xsi:type="dcterms:W3CDTF">2019-01-12T09:00:00Z</dcterms:created>
  <dcterms:modified xsi:type="dcterms:W3CDTF">2019-01-12T09:00:00Z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