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Ashley Reese</w:t>
      </w:r>
    </w:p>
    <w:p>
      <w:r>
        <w:t>From: Nicholas Cox</w:t>
      </w:r>
    </w:p>
    <w:p>
      <w:r>
        <w:t>Re: Kickoff, Zoning Variance Petition for Foley Group</w:t>
      </w:r>
    </w:p>
    <w:p>
      <w:r>
        <w:t>The conclusion first: this petition is won on the record, not at the podium. Our client is Foley Group. Our contact is Patricia Young, General Manager, Foley Group. The engagement runs from April 16, 2019 for about four months, through the board's decision. The objective is a petition the board can grant on the papers in front of it, with every parcel fact and every prior filing verified before anyone says a word in a hearing room.</w:t>
      </w:r>
    </w:p>
    <w:p>
      <w:pPr>
        <w:pStyle w:val="ListBullet"/>
      </w:pPr>
      <w:r>
        <w:t>Property record. Deed, survey, and every recorded instrument touching the parcel. I own this, and it comes first.</w:t>
      </w:r>
    </w:p>
    <w:p>
      <w:pPr>
        <w:pStyle w:val="ListBullet"/>
      </w:pPr>
      <w:r>
        <w:t>Zoning analysis. The provisions we need relief from and the standards the board applies in granting it. Ashley Reese owns this.</w:t>
      </w:r>
    </w:p>
    <w:p>
      <w:pPr>
        <w:pStyle w:val="ListBullet"/>
      </w:pPr>
      <w:r>
        <w:t>Petition and exhibits. First draft by Ashley Reese; I revise. Nothing is filed until both of us have read it twice.</w:t>
      </w:r>
    </w:p>
    <w:p>
      <w:pPr>
        <w:pStyle w:val="ListBullet"/>
      </w:pPr>
      <w:r>
        <w:t>Client coordination. Working sessions and status reports to Patricia Young's office, in a form her people can forward upward without a call. Ashley Reese owns this.</w:t>
      </w:r>
    </w:p>
    <w:p>
      <w:r>
        <w:t>Next steps. I will circulate the property record summary when the review is finished, not before. Ashley schedules the first working session with the client. The matter folder is restricted to the two of us and the Managing Partner. Keep it that way.</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Bramblewood Legal PLLC</w:t>
    </w:r>
  </w:p>
  <w:p>
    <w:r>
      <w:rPr>
        <w:sz w:val="18"/>
      </w:rPr>
      <w:t>www.bramblewoodlegal.com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Bramblewood Legal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Zoning Variance Petition for Foley Group</dc:title>
  <dc:subject/>
  <dc:creator>Nicholas Cox</dc:creator>
  <cp:keywords/>
  <dc:description>generated by python-docx</dc:description>
  <cp:lastModifiedBy>Nicholas Cox</cp:lastModifiedBy>
  <cp:revision>1</cp:revision>
  <dcterms:created xsi:type="dcterms:W3CDTF">2019-04-19T09:00:00Z</dcterms:created>
  <dcterms:modified xsi:type="dcterms:W3CDTF">2019-04-19T09:00:00Z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