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Zoning Variance Petition for Foley Group</w:t>
      </w:r>
    </w:p>
    <w:p>
      <w:r>
        <w:t>Prepared by Nicholas Cox, Senior Attorney, Bramblewood Legal PLLC, for the executive office of Foley Group.</w:t>
      </w:r>
    </w:p>
    <w:p>
      <w:pPr>
        <w:pStyle w:val="Heading2"/>
      </w:pPr>
      <w:r>
        <w:t>Status summary</w:t>
      </w:r>
    </w:p>
    <w:p>
      <w:r>
        <w:t>The matter is on schedule and within budget. The engagement remains within the fixed fee of $60,000 stated in the engagement letter; no adjustment is proposed or anticipated. The petition has been filed with its exhibits complete, the board has accepted it for hearing, and the remaining work is preparation for the hearing itself.</w:t>
      </w:r>
    </w:p>
    <w:p>
      <w:pPr>
        <w:pStyle w:val="Heading2"/>
      </w:pPr>
      <w:r>
        <w:t>Accomplishments this period</w:t>
      </w:r>
    </w:p>
    <w:p>
      <w:pPr>
        <w:pStyle w:val="ListBullet"/>
      </w:pPr>
      <w:r>
        <w:t>Finalized the petition and supporting exhibits; every fact the petition recites was verified against the deed, survey, and recorded instruments before filing.</w:t>
      </w:r>
    </w:p>
    <w:p>
      <w:pPr>
        <w:pStyle w:val="ListBullet"/>
      </w:pPr>
      <w:r>
        <w:t>Filed the petition with the board; the filing was accepted without deficiency.</w:t>
      </w:r>
    </w:p>
    <w:p>
      <w:pPr>
        <w:pStyle w:val="ListBullet"/>
      </w:pPr>
      <w:r>
        <w:t>Ashley Reese delivered the zoning analysis in final form, addressing each standard the board applies to a variance.</w:t>
      </w:r>
    </w:p>
    <w:p>
      <w:pPr>
        <w:pStyle w:val="ListBullet"/>
      </w:pPr>
      <w:r>
        <w:t>Completed the notice and publication steps the filing requires; proof of each has been placed in the matter file.</w:t>
      </w:r>
    </w:p>
    <w:p>
      <w:pPr>
        <w:pStyle w:val="Heading2"/>
      </w:pPr>
      <w:r>
        <w:t>Upcoming work</w:t>
      </w:r>
    </w:p>
    <w:p>
      <w:pPr>
        <w:pStyle w:val="ListBullet"/>
      </w:pPr>
      <w:r>
        <w:t>Prepare the hearing presentation, keyed to the standards addressed in the zoning analysis.</w:t>
      </w:r>
    </w:p>
    <w:p>
      <w:pPr>
        <w:pStyle w:val="ListBullet"/>
      </w:pPr>
      <w:r>
        <w:t>Hold a preparation session with Foley Group so the testimony of its representatives matches the record precisely.</w:t>
      </w:r>
    </w:p>
    <w:p>
      <w:pPr>
        <w:pStyle w:val="ListBullet"/>
      </w:pPr>
      <w:r>
        <w:t>Continue reporting in this format through the board's decision.</w:t>
      </w:r>
    </w:p>
    <w:p>
      <w:pPr>
        <w:pStyle w:val="Heading2"/>
      </w:pPr>
      <w:r>
        <w:t>Risks</w:t>
      </w:r>
    </w:p>
    <w:p>
      <w:r>
        <w:t>Two risks merit statement. First, the board controls its own calendar; a continuance would extend the engagement's timeline, though not its fee. Second, neighboring owners may appear at the hearing in opposition. The petition was drafted on the assumption that they would, and the record supports each fact it recites. Neither risk calls for action by your office at this time. Questions on this report may be directed to me or to Ashley Reese.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Zoning Variance Petition for Foley Group</dc:title>
  <dc:subject/>
  <dc:creator>Nicholas Cox</dc:creator>
  <cp:keywords/>
  <dc:description>generated by python-docx</dc:description>
  <cp:lastModifiedBy>Nicholas Cox</cp:lastModifiedBy>
  <cp:revision>1</cp:revision>
  <dcterms:created xsi:type="dcterms:W3CDTF">2019-07-06T09:00:00Z</dcterms:created>
  <dcterms:modified xsi:type="dcterms:W3CDTF">2019-07-06T09:00:00Z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