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Zoning Variance Petition for Foley Group</w:t>
      </w:r>
    </w:p>
    <w:p>
      <w:r>
        <w:t>Prepared by Ashley Reese, Attorney, Bramblewood Legal PLLC. Circulated to all attendees for correction the same week.</w:t>
      </w:r>
    </w:p>
    <w:p>
      <w:pPr>
        <w:pStyle w:val="ListBullet"/>
      </w:pPr>
      <w:r>
        <w:t>Nicholas Cox, Senior Attorney, Bramblewood Legal PLLC</w:t>
      </w:r>
    </w:p>
    <w:p>
      <w:pPr>
        <w:pStyle w:val="ListBullet"/>
      </w:pPr>
      <w:r>
        <w:t>Ashley Reese, Attorney, Bramblewood Legal PLLC (minutes)</w:t>
      </w:r>
    </w:p>
    <w:p>
      <w:pPr>
        <w:pStyle w:val="ListBullet"/>
      </w:pPr>
      <w:r>
        <w:t>Patricia Young, General Manager, Foley Group</w:t>
      </w:r>
    </w:p>
    <w:p>
      <w:r>
        <w:t>Nicholas Cox reported that the property record is closed: the deed, survey, and recorded instruments have been reviewed, and nothing in the record contradicts the facts the draft petition recites. The draft was then read through section by section. Patricia Young confirmed the operational facts stated in the petition and supplied one correction to the description of current use, which was noted in the room and carried into the draft.</w:t>
      </w:r>
    </w:p>
    <w:p>
      <w:r>
        <w:t>Patricia Young asked that future status reports be written so the general counsel of Foley Group can forward them upward without a covering call, a request the firm is happy to oblige, that being the format we prefer anyway. Discussion closed with agreement on the sequence of filings and no open disputes about the record.</w:t>
      </w:r>
    </w:p>
    <w:p>
      <w:pPr>
        <w:pStyle w:val="ListBullet"/>
      </w:pPr>
      <w:r>
        <w:t>Carry the corrected description of current use into the final draft. Owner: Ashley Reese.</w:t>
      </w:r>
    </w:p>
    <w:p>
      <w:pPr>
        <w:pStyle w:val="ListBullet"/>
      </w:pPr>
      <w:r>
        <w:t>Assemble the exhibits in filing order and verify each against the record. Owner: Nicholas Cox.</w:t>
      </w:r>
    </w:p>
    <w:p>
      <w:pPr>
        <w:pStyle w:val="ListBullet"/>
      </w:pPr>
      <w:r>
        <w:t>Prepare the next status report in the format the client requested. Owner: Ashley Reese.</w:t>
      </w:r>
    </w:p>
    <w:p>
      <w:pPr>
        <w:pStyle w:val="ListBullet"/>
      </w:pPr>
      <w:r>
        <w:t>Confirm the board's filing requirements and set the internal schedule. Owner: Nicholas Cox.</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Bramblewood Legal PLLC</w:t>
    </w:r>
  </w:p>
  <w:p>
    <w:r>
      <w:rPr>
        <w:sz w:val="18"/>
      </w:rPr>
      <w:t>www.bramblewoodlegal.com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Bramblewood Legal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Zoning Variance Petition for Foley Group</dc:title>
  <dc:subject/>
  <dc:creator>Ashley Reese</dc:creator>
  <cp:keywords/>
  <dc:description>generated by python-docx</dc:description>
  <cp:lastModifiedBy>Ashley Reese</cp:lastModifiedBy>
  <cp:revision>1</cp:revision>
  <dcterms:created xsi:type="dcterms:W3CDTF">2019-05-29T09:00:00Z</dcterms:created>
  <dcterms:modified xsi:type="dcterms:W3CDTF">2019-05-29T09:00:00Z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