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Lease Dispute Advisory for Miles, Alexander and Mccoy</w:t>
      </w:r>
    </w:p>
    <w:p>
      <w:r>
        <w:t>Prepared by Nicholas Cox, Senior Attorney, Bramblewood Legal PLLC, for the executive office of Miles, Alexander and Mccoy.</w:t>
      </w:r>
    </w:p>
    <w:p>
      <w:pPr>
        <w:pStyle w:val="Heading2"/>
      </w:pPr>
      <w:r>
        <w:t>Status summary</w:t>
      </w:r>
    </w:p>
    <w:p>
      <w:r>
        <w:t>The matter is on schedule and within budget. The engagement remains within the fixed fee of $37,500 set in the engagement letter; no change to that figure is proposed or expected. The documentary record is complete, the position analysis is settled, and the remaining work is drafting.</w:t>
      </w:r>
    </w:p>
    <w:p>
      <w:pPr>
        <w:pStyle w:val="Heading2"/>
      </w:pPr>
      <w:r>
        <w:t>Accomplishments this period</w:t>
      </w:r>
    </w:p>
    <w:p>
      <w:pPr>
        <w:pStyle w:val="ListBullet"/>
      </w:pPr>
      <w:r>
        <w:t>Completed the review of parcel records and recorded filings; no instrument was found that weakens the client's reading of the disputed provisions.</w:t>
      </w:r>
    </w:p>
    <w:p>
      <w:pPr>
        <w:pStyle w:val="ListBullet"/>
      </w:pPr>
      <w:r>
        <w:t>Ashley Reese finalized the position analysis, incorporating comments taken at the working session with the client.</w:t>
      </w:r>
    </w:p>
    <w:p>
      <w:pPr>
        <w:pStyle w:val="ListBullet"/>
      </w:pPr>
      <w:r>
        <w:t>Brendan Walls closed the last gap in the correspondence file; the matter record is now complete.</w:t>
      </w:r>
    </w:p>
    <w:p>
      <w:pPr>
        <w:pStyle w:val="Heading2"/>
      </w:pPr>
      <w:r>
        <w:t>Upcoming work</w:t>
      </w:r>
    </w:p>
    <w:p>
      <w:pPr>
        <w:pStyle w:val="ListBullet"/>
      </w:pPr>
      <w:r>
        <w:t>Draft the settlement documentation reflecting the settled position analysis.</w:t>
      </w:r>
    </w:p>
    <w:p>
      <w:pPr>
        <w:pStyle w:val="ListBullet"/>
      </w:pPr>
      <w:r>
        <w:t>Prepare a short response plan for each answer the counterparty may plausibly give.</w:t>
      </w:r>
    </w:p>
    <w:p>
      <w:pPr>
        <w:pStyle w:val="ListBullet"/>
      </w:pPr>
      <w:r>
        <w:t>Continue reporting in this format through the close of the engagement.</w:t>
      </w:r>
    </w:p>
    <w:p>
      <w:pPr>
        <w:pStyle w:val="Heading2"/>
      </w:pPr>
      <w:r>
        <w:t>Risks</w:t>
      </w:r>
    </w:p>
    <w:p>
      <w:r>
        <w:t>Two risks are worth stating. First, the counterparty controls its own timetable; a slow response would push the closing weeks of the engagement, though not the fee. Second, any position the counterparty presents as standard language will be tested against the record before it is accepted. Neither risk requires action from your office at this time. Questions on this report may be directed to me or to Ashley Reese.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Bramblewood Legal PLLC</w:t>
    </w:r>
  </w:p>
  <w:p>
    <w:r>
      <w:rPr>
        <w:sz w:val="18"/>
      </w:rPr>
      <w:t>www.bramblewoodlegal.com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Bramblewood Legal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Lease Dispute Advisory for Miles, Alexander and Mccoy</dc:title>
  <dc:subject/>
  <dc:creator>Nicholas Cox</dc:creator>
  <cp:keywords/>
  <dc:description>generated by python-docx</dc:description>
  <cp:lastModifiedBy>Nicholas Cox</cp:lastModifiedBy>
  <cp:revision>1</cp:revision>
  <dcterms:created xsi:type="dcterms:W3CDTF">2018-11-01T09:00:00Z</dcterms:created>
  <dcterms:modified xsi:type="dcterms:W3CDTF">2018-11-01T09:00:00Z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