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Lease Dispute Advisory for Miles, Alexander and Mccoy</w:t>
      </w:r>
    </w:p>
    <w:p>
      <w:r>
        <w:t>Prepared by Brendan Walls, Paralegal. Minutes taken in the room and circulated to all attendees the same day.</w:t>
      </w:r>
    </w:p>
    <w:p>
      <w:pPr>
        <w:pStyle w:val="ListBullet"/>
      </w:pPr>
      <w:r>
        <w:t>Nicholas Cox, Senior Attorney, Bramblewood Legal PLLC</w:t>
      </w:r>
    </w:p>
    <w:p>
      <w:pPr>
        <w:pStyle w:val="ListBullet"/>
      </w:pPr>
      <w:r>
        <w:t>Ashley Reese, Attorney, Bramblewood Legal PLLC</w:t>
      </w:r>
    </w:p>
    <w:p>
      <w:pPr>
        <w:pStyle w:val="ListBullet"/>
      </w:pPr>
      <w:r>
        <w:t>Brendan Walls, Paralegal, Bramblewood Legal PLLC (minutes)</w:t>
      </w:r>
    </w:p>
    <w:p>
      <w:pPr>
        <w:pStyle w:val="ListBullet"/>
      </w:pPr>
      <w:r>
        <w:t>Jennifer Chavez, General Manager, Miles, Alexander and Mccoy</w:t>
      </w:r>
    </w:p>
    <w:p>
      <w:r>
        <w:t>Nicholas Cox opened with the state of the record. The parcel and filing review is complete. The recorded instruments were walked through one by one, and no filing was identified that undercuts the client's reading of the disputed provisions. Ashley Reese then presented the draft position analysis and took comments in the room.</w:t>
      </w:r>
    </w:p>
    <w:p>
      <w:r>
        <w:t>Jennifer Chavez asked that the next status report state the open items plainly enough that the general counsel of Miles, Alexander and Mccoy can read it without a covering call. Ashley Reese agreed to that format. One exhibit is still missing from the correspondence file; the gap is recorded here so it is not forgotten, and it is assigned below.</w:t>
      </w:r>
    </w:p>
    <w:tbl>
      <w:tblPr>
        <w:tblStyle w:val="TableGrid"/>
        <w:tblW w:type="auto" w:w="0"/>
        <w:tblLook w:firstColumn="1" w:firstRow="1" w:lastColumn="0" w:lastRow="0" w:noHBand="0" w:noVBand="1" w:val="04A0"/>
      </w:tblPr>
      <w:tblGrid>
        <w:gridCol w:w="4320"/>
        <w:gridCol w:w="4320"/>
      </w:tblGrid>
      <w:tr>
        <w:tc>
          <w:tcPr>
            <w:tcW w:type="dxa" w:w="4320"/>
          </w:tcPr>
          <w:p>
            <w:r>
              <w:rPr>
                <w:b/>
              </w:rPr>
              <w:t>Action item</w:t>
            </w:r>
          </w:p>
        </w:tc>
        <w:tc>
          <w:tcPr>
            <w:tcW w:type="dxa" w:w="4320"/>
          </w:tcPr>
          <w:p>
            <w:r>
              <w:rPr>
                <w:b/>
              </w:rPr>
              <w:t>Owner</w:t>
            </w:r>
          </w:p>
        </w:tc>
      </w:tr>
      <w:tr>
        <w:tc>
          <w:tcPr>
            <w:tcW w:type="dxa" w:w="4320"/>
          </w:tcPr>
          <w:p>
            <w:r>
              <w:t>Obtain the missing correspondence exhibit and complete the matter file</w:t>
            </w:r>
          </w:p>
        </w:tc>
        <w:tc>
          <w:tcPr>
            <w:tcW w:type="dxa" w:w="4320"/>
          </w:tcPr>
          <w:p>
            <w:r>
              <w:t>Brendan Walls</w:t>
            </w:r>
          </w:p>
        </w:tc>
      </w:tr>
      <w:tr>
        <w:tc>
          <w:tcPr>
            <w:tcW w:type="dxa" w:w="4320"/>
          </w:tcPr>
          <w:p>
            <w:r>
              <w:t>Revise the position analysis to reflect comments taken in session</w:t>
            </w:r>
          </w:p>
        </w:tc>
        <w:tc>
          <w:tcPr>
            <w:tcW w:type="dxa" w:w="4320"/>
          </w:tcPr>
          <w:p>
            <w:r>
              <w:t>Ashley Reese</w:t>
            </w:r>
          </w:p>
        </w:tc>
      </w:tr>
      <w:tr>
        <w:tc>
          <w:tcPr>
            <w:tcW w:type="dxa" w:w="4320"/>
          </w:tcPr>
          <w:p>
            <w:r>
              <w:t>Prepare the next status report in the format requested by the client</w:t>
            </w:r>
          </w:p>
        </w:tc>
        <w:tc>
          <w:tcPr>
            <w:tcW w:type="dxa" w:w="4320"/>
          </w:tcPr>
          <w:p>
            <w:r>
              <w:t>Ashley Reese</w:t>
            </w:r>
          </w:p>
        </w:tc>
      </w:tr>
      <w:tr>
        <w:tc>
          <w:tcPr>
            <w:tcW w:type="dxa" w:w="4320"/>
          </w:tcPr>
          <w:p>
            <w:r>
              <w:t>Set the agenda and date for the next working session</w:t>
            </w:r>
          </w:p>
        </w:tc>
        <w:tc>
          <w:tcPr>
            <w:tcW w:type="dxa" w:w="4320"/>
          </w:tcPr>
          <w:p>
            <w:r>
              <w:t>Nicholas Cox</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Lease Dispute Advisory for Miles, Alexander and Mccoy</dc:title>
  <dc:subject/>
  <dc:creator>Brendan Walls</dc:creator>
  <cp:keywords/>
  <dc:description>generated by python-docx</dc:description>
  <cp:lastModifiedBy>Brendan Walls</cp:lastModifiedBy>
  <cp:revision>1</cp:revision>
  <dcterms:created xsi:type="dcterms:W3CDTF">2018-09-05T09:00:00Z</dcterms:created>
  <dcterms:modified xsi:type="dcterms:W3CDTF">2018-09-05T09:00:00Z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