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Bramblewood Legal PLLC</w:t>
      </w:r>
    </w:p>
    <w:p>
      <w:pPr>
        <w:pStyle w:val="Heading2"/>
      </w:pPr>
      <w:r>
        <w:t>Firm Overview</w:t>
      </w:r>
    </w:p>
    <w:p>
      <w:r>
        <w:t>Bramblewood Legal PLLC is a boutique real-estate practice. We have kept the firm small on purpose. The attorney who signs your engagement letter is the attorney who reads your title commitment, and the matter team named on the first page is the team that carries the file through closing. We practice one kind of law, and we practice it carefully.</w:t>
      </w:r>
    </w:p>
    <w:p>
      <w:r>
        <w:t>The firm's service lines are these:</w:t>
      </w:r>
    </w:p>
    <w:p>
      <w:pPr>
        <w:pStyle w:val="ListBullet"/>
      </w:pPr>
      <w:r>
        <w:t>Acquisition and disposition of commercial and residential property, from letter of intent through closing</w:t>
      </w:r>
    </w:p>
    <w:p>
      <w:pPr>
        <w:pStyle w:val="ListBullet"/>
      </w:pPr>
      <w:r>
        <w:t>Commercial and ground leases, drafted and negotiated on either side of the table</w:t>
      </w:r>
    </w:p>
    <w:p>
      <w:pPr>
        <w:pStyle w:val="ListBullet"/>
      </w:pPr>
      <w:r>
        <w:t>Title, survey, and easement review, including resolution of boundary and access questions</w:t>
      </w:r>
    </w:p>
    <w:p>
      <w:pPr>
        <w:pStyle w:val="ListBullet"/>
      </w:pPr>
      <w:r>
        <w:t>Zoning and land-use submissions before municipal boards</w:t>
      </w:r>
    </w:p>
    <w:p>
      <w:pPr>
        <w:pStyle w:val="ListBullet"/>
      </w:pPr>
      <w:r>
        <w:t>Closing coordination, escrow, and post-closing recordkeeping</w:t>
      </w:r>
    </w:p>
    <w:p>
      <w:r>
        <w:t>Representative of how we prefer to work is our continuing engagement for Miles, Alexander and Mccoy: a scope defined in writing before the first hour was billed, a matter team the client knows by name, and status reports written so that they can be forwarded upward without a covering call. A client should never have to translate its own lawyer.</w:t>
      </w:r>
    </w:p>
    <w:p>
      <w:r>
        <w:t>Matter confidentiality is the firm's first rule, and the rest follow from it. A client's folder is readable by the matter team and the Managing Partner, and by no one else. The firm's written permissions record is maintained with the same seriousness we give a pleading, and the file room is kept the way our attorneys keep their calendars: exactly.</w:t>
      </w:r>
    </w:p>
    <w:p>
      <w:r>
        <w:t>Every document that leaves this office under the firm's name is read first by Vanessa Brown, our Managing Partner, who has spent a career steadying nervous parties across closing tables and who drafts accordingly: scope first, signature last, nothing left implied.</w:t>
      </w:r>
    </w:p>
    <w:p>
      <w:r>
        <w:t>We do not measure the firm by headcount or by the size of the transactions we close. We measure it by whether the record we leave behind is one a careful reader could rely on without calling us. That is the firm's ambition, stated in full.</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Bramblewood Legal PLLC</w:t>
    </w:r>
  </w:p>
  <w:p>
    <w:r>
      <w:rPr>
        <w:sz w:val="18"/>
      </w:rPr>
      <w:t>www.bramblewoodlegal.com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Bramblewood Legal PLLC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Vanessa Brown</dc:creator>
  <cp:keywords/>
  <dc:description>generated by python-docx</dc:description>
  <cp:lastModifiedBy>Vanessa Brown</cp:lastModifiedBy>
  <cp:revision>1</cp:revision>
  <dcterms:created xsi:type="dcterms:W3CDTF">2019-09-16T09:00:00Z</dcterms:created>
  <dcterms:modified xsi:type="dcterms:W3CDTF">2019-09-16T09:00:00Z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