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To: Kelly Snyder, Matthew Parrish</w:t>
        <w:br/>
        <w:t>From: Ashley Williams</w:t>
        <w:br/>
        <w:t>Re: Kickoff -- Trademark Clearance for Jackson Inc</w:t>
      </w:r>
    </w:p>
    <w:p>
      <w:r>
        <w:t>Our job on this one is narrow, and I want us to hold it that way. Jackson Inc has given us a set of proposed marks to clear before it commits to any of them, and the Jackson Inc engagement opened on April 9, 2024. We owe the client a clean search of each candidate and a written assessment of the risk it carries, and nothing that reads as a conclusion on that risk goes out without counsel's review.</w:t>
      </w:r>
    </w:p>
    <w:p>
      <w:r>
        <w:t>We are at the very front of the work, so this memo sets the scope and the order of the searches, not any findings. There are no results yet, and there should not be. Read it as the plan of record for the matter, and tell me now if any of it does not fit how you expected the clearance to run.</w:t>
      </w:r>
    </w:p>
    <w:p>
      <w:pPr>
        <w:pStyle w:val="Heading2"/>
      </w:pPr>
      <w:r>
        <w:t>How the work breaks down, in the order I expect us to run it</w:t>
      </w:r>
    </w:p>
    <w:p>
      <w:pPr>
        <w:pStyle w:val="ListBullet"/>
      </w:pPr>
      <w:r>
        <w:t>Fix the scope. I will pin down each candidate mark and the exact goods and services Jackson Inc means to use it on, from what Cynthia Hunter and her team send over. A mark cleared against the wrong class is not cleared at all, so this comes first and I will not rush it.</w:t>
      </w:r>
    </w:p>
    <w:p>
      <w:pPr>
        <w:pStyle w:val="ListBullet"/>
      </w:pPr>
      <w:r>
        <w:t>Knockout searches. I will run a first-pass search of each candidate against the federal register, to drop any that collide head-on before we spend the full search on it. This is a filter, not an opinion, and it stays that way in the file.</w:t>
      </w:r>
    </w:p>
    <w:p>
      <w:pPr>
        <w:pStyle w:val="ListBullet"/>
      </w:pPr>
      <w:r>
        <w:t>Full clearance search. For the marks that survive the knockout, I will search the federal register, the state registries, and the common-law sources, and pull every mark that reads as the same or confusingly similar. Matthew Parrish will take the state and common-law searches so we cover more ground in parallel rather than one source after another.</w:t>
      </w:r>
    </w:p>
    <w:p>
      <w:pPr>
        <w:pStyle w:val="ListBullet"/>
      </w:pPr>
      <w:r>
        <w:t>Record and report. Kelly Snyder keeps the search record current and anchored to the docket as we go, and she will build the written clearance report from it. The risk assessment in that report is reviewed by counsel before it reaches the client, not sent straight from the search results.</w:t>
      </w:r>
    </w:p>
    <w:p>
      <w:r>
        <w:t>One rule while the matter is open. Anything that goes to Jackson Inc that touches a conclusion on risk goes through counsel first. We are agents on this clearance, and the view on whether a mark is safe to adopt is the firm's to give and to stand behind, so we hand it up rather than offer it ourselves. Routine questions about scope and materials I will take with Cynthia Hunter directly, and I will copy the two of you so the thread stays in one place.</w:t>
      </w:r>
    </w:p>
    <w:p>
      <w:r>
        <w:t>Getting started this week: I will send Cynthia Hunter the short list of what we need to fix the scope, and Kelly Snyder will open the matter on the docket and stand up the search file. Matthew Parrish, start reading into the goods-and-services classes for the candidates so we are ready to search the moment the scope is set.</w:t>
      </w:r>
    </w:p>
    <w:p>
      <w:r>
        <w:t>The first thing that has to happen is the scope. Nothing downstream is worth starting until each candidate mark and its classes are fixed in writing, so that is where our time goes now.</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Hollowell Patent Group PLLC</w:t>
    </w:r>
  </w:p>
  <w:p>
    <w:r>
      <w:rPr>
        <w:sz w:val="18"/>
      </w:rPr>
      <w:t>www.hollowellpatent.com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Hollowell Patent Group PLLC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Kickoff Memo: Trademark Clearance for Jackson Inc</dc:title>
  <dc:subject/>
  <dc:creator>Ashley Williams</dc:creator>
  <cp:keywords/>
  <dc:description>generated by python-docx</dc:description>
  <cp:lastModifiedBy>Ashley Williams</cp:lastModifiedBy>
  <cp:revision>1</cp:revision>
  <dcterms:created xsi:type="dcterms:W3CDTF">2024-04-12T09:00:00Z</dcterms:created>
  <dcterms:modified xsi:type="dcterms:W3CDTF">2024-04-12T09:00:00Z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