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Trademark Clearance for Jackson Inc</w:t>
      </w:r>
    </w:p>
    <w:p>
      <w:r>
        <w:t>Prepared by Ashley Williams, Patent Agent, for Jackson Inc. This report covers the current period and is written against the search record, candidate by candidate.</w:t>
      </w:r>
    </w:p>
    <w:p>
      <w:pPr>
        <w:pStyle w:val="Heading2"/>
      </w:pPr>
      <w:r>
        <w:t>Where We Stand</w:t>
      </w:r>
    </w:p>
    <w:p>
      <w:r>
        <w:t>We are at the midpoint of the clearance, and the work is where it should be. The full search on the surviving candidate marks is well advanced, the docket is current, and nothing in the engagement is behind.</w:t>
      </w:r>
    </w:p>
    <w:p>
      <w:r>
        <w:t>Nothing needs a decision from you this period. One decision touches your side, the report's timing against your board, and it is described below so you have it in view before it arrives.</w:t>
      </w:r>
    </w:p>
    <w:p>
      <w:pPr>
        <w:pStyle w:val="Heading2"/>
      </w:pPr>
      <w:r>
        <w:t>Who Is On It</w:t>
      </w:r>
    </w:p>
    <w:p>
      <w:r>
        <w:t>The team that started the clearance is the team still on it. I run the searches and the analysis, and I am your day-to-day contact on the substance of the work. Kelly Snyder holds the search record and the docket, and she will build the written report from what the searches return. Anything that turns on a judgment about risk is reviewed by counsel before it reaches you.</w:t>
      </w:r>
    </w:p>
    <w:p>
      <w:pPr>
        <w:pStyle w:val="Heading2"/>
      </w:pPr>
      <w:r>
        <w:t>What We Did This Period</w:t>
      </w:r>
    </w:p>
    <w:p>
      <w:r>
        <w:t>The work this period was the full clearance search on the marks that survived the knockout stage. We ran it on all of them together, across the federal register, the state registries, and the common-law sources, so that no one candidate waited behind another.</w:t>
      </w:r>
    </w:p>
    <w:p>
      <w:pPr>
        <w:pStyle w:val="ListBullet"/>
      </w:pPr>
      <w:r>
        <w:t>We searched every surviving candidate against all three source sets and logged each hit against the mark it touches.</w:t>
      </w:r>
    </w:p>
    <w:p>
      <w:pPr>
        <w:pStyle w:val="ListBullet"/>
      </w:pPr>
      <w:r>
        <w:t>We folded the substitute mark Jackson Inc added into the same pass, so it clears with the survivors and not on a later one.</w:t>
      </w:r>
    </w:p>
    <w:p>
      <w:pPr>
        <w:pStyle w:val="ListBullet"/>
      </w:pPr>
      <w:r>
        <w:t>Kelly Snyder kept the search record current and anchored to the docket, with a check date on every search so none can drift.</w:t>
      </w:r>
    </w:p>
    <w:p>
      <w:pPr>
        <w:pStyle w:val="ListBullet"/>
      </w:pPr>
      <w:r>
        <w:t>We confirmed that the candidates dropped at the knockout stage stay dropped, and that no candidate has been added or removed since.</w:t>
      </w:r>
    </w:p>
    <w:p>
      <w:r>
        <w:t>A word on what the hits mean, since a raw count invites the wrong reading. A candidate can draw many near matches and still clear, or draw only a few and not. The number is not the signal; the analysis is, and that is the work of the next period.</w:t>
      </w:r>
    </w:p>
    <w:p>
      <w:pPr>
        <w:pStyle w:val="Heading2"/>
      </w:pPr>
      <w:r>
        <w:t>What Comes Next</w:t>
      </w:r>
    </w:p>
    <w:p>
      <w:r>
        <w:t>The next period completes the searches and turns the record into the written clearance report. The report is organized by candidate mark, one section each, so you can read it against the marks that matter most to you first.</w:t>
      </w:r>
    </w:p>
    <w:p>
      <w:pPr>
        <w:pStyle w:val="ListBullet"/>
      </w:pPr>
      <w:r>
        <w:t>We finish the remaining searches on the survivors and close the record.</w:t>
      </w:r>
    </w:p>
    <w:p>
      <w:pPr>
        <w:pStyle w:val="ListBullet"/>
      </w:pPr>
      <w:r>
        <w:t>Kelly Snyder assembles the written report from that record, mark by mark.</w:t>
      </w:r>
    </w:p>
    <w:p>
      <w:pPr>
        <w:pStyle w:val="ListBullet"/>
      </w:pPr>
      <w:r>
        <w:t>Counsel reviews the read on the risk each mark carries before the report reaches you.</w:t>
      </w:r>
    </w:p>
    <w:p>
      <w:pPr>
        <w:pStyle w:val="ListBullet"/>
      </w:pPr>
      <w:r>
        <w:t>We deliver the report, and I flag anything in it that needs a decision from you as it comes up.</w:t>
      </w:r>
    </w:p>
    <w:p>
      <w:r>
        <w:t>The report will set out, for each surviving mark, the conflicts the search turned up, our read of the risk it carries, and the options that read leaves open. Where a conflict is close enough that reasonable people could weigh it differently, we will say so plainly, not resolve it more firmly than the record allows.</w:t>
      </w:r>
    </w:p>
    <w:p>
      <w:pPr>
        <w:pStyle w:val="Heading2"/>
      </w:pPr>
      <w:r>
        <w:t>Risks</w:t>
      </w:r>
    </w:p>
    <w:p>
      <w:r>
        <w:t>There is no finding to report this period, and so no risk that turns on one. The standing limit on any clearance is the reach of the search itself: it covers the marks and classes we cleared and the records our sources reach as of the date we report, and no further.</w:t>
      </w:r>
    </w:p>
    <w:p>
      <w:r>
        <w:t>If the search turns up a mark that plainly blocks one of the candidates, you will hear it from me the day it surfaces, not first in the report. The same holds for anything that would widen the work beyond the scope we agreed. You will not learn of a problem from a status report for the first time.</w:t>
      </w:r>
    </w:p>
    <w:p>
      <w:pPr>
        <w:pStyle w:val="Heading2"/>
      </w:pPr>
      <w:r>
        <w:t>Budget</w:t>
      </w:r>
    </w:p>
    <w:p>
      <w:r>
        <w:t>The engagement fee is $48,000, fixed for the scope we agreed, and the work is tracking within it. At the midpoint we have used a little under half of that amount, which is where a clearance of this shape should sit at this stage.</w:t>
      </w:r>
    </w:p>
    <w:p>
      <w:r>
        <w:t>If anything would take the work past that fee, we will tell you and price it before we begin, not fold it into the number you agreed to. Widening the search beyond the marks, classes, or territory we scoped is the one thing that would do it, and none of that has come up.</w:t>
      </w:r>
    </w:p>
    <w:p>
      <w:r>
        <w:t>We will send the next report at the usual interval, and if the searches close before then, you will have the written clearance report itself in that window. Call me if anything here needs more than a report can give.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Trademark Clearance for Jackson Inc</dc:title>
  <dc:subject/>
  <dc:creator>Ashley Williams</dc:creator>
  <cp:keywords/>
  <dc:description>generated by python-docx</dc:description>
  <cp:lastModifiedBy>Ashley Williams</cp:lastModifiedBy>
  <cp:revision>1</cp:revision>
  <dcterms:created xsi:type="dcterms:W3CDTF">2024-06-06T09:00:00Z</dcterms:created>
  <dcterms:modified xsi:type="dcterms:W3CDTF">2024-06-06T09:00:00Z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