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This session reviewed the progress of the full clearance search and settled the shape of the written report. It was a working meeting between the firm's prosecution team and the client. It reached no conclusion on the risk of any candidate mark; that view comes in the report, after counsel has reviewed it. These minutes record what was covered and what was assigned.</w:t>
      </w:r>
    </w:p>
    <w:p>
      <w:pPr>
        <w:pStyle w:val="Heading2"/>
      </w:pPr>
      <w:r>
        <w:t>In Attendance</w:t>
      </w:r>
    </w:p>
    <w:p>
      <w:pPr>
        <w:pStyle w:val="ListBullet"/>
      </w:pPr>
      <w:r>
        <w:t>Ashley Williams, Patent Agent, Prosecution</w:t>
      </w:r>
    </w:p>
    <w:p>
      <w:pPr>
        <w:pStyle w:val="ListBullet"/>
      </w:pPr>
      <w:r>
        <w:t>Kelly Snyder, Associate, Prosecution (minutes)</w:t>
      </w:r>
    </w:p>
    <w:p>
      <w:pPr>
        <w:pStyle w:val="ListBullet"/>
      </w:pPr>
      <w:r>
        <w:t>Cynthia Hunter, Chief Operating Officer, Jackson Inc</w:t>
      </w:r>
    </w:p>
    <w:p>
      <w:pPr>
        <w:pStyle w:val="Heading2"/>
      </w:pPr>
      <w:r>
        <w:t>Discussion</w:t>
      </w:r>
    </w:p>
    <w:p>
      <w:r>
        <w:t>Ashley Williams reported on the full clearance search. It is running on all surviving candidates at once, against the federal register, the state registries, and the common-law sources the firm can reach. Running the sources in parallel keeps the search from stretching out one source at a time. It is partway through, and hits are logged against each candidate as they return. None has been assessed for risk.</w:t>
      </w:r>
    </w:p>
    <w:p>
      <w:r>
        <w:t>The count of hits is not itself a signal. A mark can draw many near matches and clear, or draw few and not. Ashley Williams kept the record to what the searches returned, not to what they might mean, which is the discipline the report depends on. The risk read waits until every source on a mark is in.</w:t>
      </w:r>
    </w:p>
    <w:p>
      <w:r>
        <w:t>Kelly Snyder reported the docket status. Every candidate, every class, and every hit sits in one search file. Each search carries a check date, so no search can drift past the point where it should be revisited. The record is current as of this session, and the docket is the source of truth for it, not anyone's notes.</w:t>
      </w:r>
    </w:p>
    <w:p>
      <w:r>
        <w:t>The candidates that dropped at the knockout stage remain dropped, and the file notes why each fell. The substitute mark Jackson Inc submitted is in the full search with the survivors, so it clears on the same pass. No candidate has been added or removed since the last update.</w:t>
      </w:r>
    </w:p>
    <w:p>
      <w:r>
        <w:t>Cynthia Hunter raised two practical concerns from the client side: the report's timing against the board's calendar, and whether the firm can flag a clear problem early. Ashley Williams answered that the search is on schedule for the report, and that a head-on collision would be reported the day it surfaced. She repeated that no considered risk view precedes the written report and counsel's review.</w:t>
      </w:r>
    </w:p>
    <w:p>
      <w:r>
        <w:t>On timing, the group did not fix a delivery date, because the report follows the close of the searches and the searches are not closed. Ashley Williams offered a short interim note if the board needs something before the full report is ready. Cynthia Hunter will send the board's timing so the firm can choose between the two. Neither option changes the substance of the clearance.</w:t>
      </w:r>
    </w:p>
    <w:p>
      <w:r>
        <w:t>The group settled the shape of the written report. It will be organized by candidate mark, one section each, so the client can read it against the marks it cares about most first. Kelly Snyder will assemble it from the search record once the searches close, and counsel will review the read on the risk before it goes out.</w:t>
      </w:r>
    </w:p>
    <w:p>
      <w:pPr>
        <w:pStyle w:val="ListBullet"/>
      </w:pPr>
      <w:r>
        <w:t>For each surviving mark, the conflicts the search turned up.</w:t>
      </w:r>
    </w:p>
    <w:p>
      <w:pPr>
        <w:pStyle w:val="ListBullet"/>
      </w:pPr>
      <w:r>
        <w:t>For each surviving mark, the firm's read of the risk it carries.</w:t>
      </w:r>
    </w:p>
    <w:p>
      <w:pPr>
        <w:pStyle w:val="ListBullet"/>
      </w:pPr>
      <w:r>
        <w:t>For each surviving mark, the options that read leaves open to Jackson Inc.</w:t>
      </w:r>
    </w:p>
    <w:p>
      <w:pPr>
        <w:pStyle w:val="ListBullet"/>
      </w:pPr>
      <w:r>
        <w:t>A short note on the sources searched and the date the search closed, so the scope of the clearance is on the record.</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Complete the full clearance search on the surviving candidates</w:t>
            </w:r>
          </w:p>
        </w:tc>
        <w:tc>
          <w:tcPr>
            <w:tcW w:type="dxa" w:w="2880"/>
          </w:tcPr>
          <w:p>
            <w:r>
              <w:t>Ashley Williams</w:t>
            </w:r>
          </w:p>
        </w:tc>
        <w:tc>
          <w:tcPr>
            <w:tcW w:type="dxa" w:w="2880"/>
          </w:tcPr>
          <w:p>
            <w:r>
              <w:t>Coming weeks</w:t>
            </w:r>
          </w:p>
        </w:tc>
      </w:tr>
      <w:tr>
        <w:tc>
          <w:tcPr>
            <w:tcW w:type="dxa" w:w="2880"/>
          </w:tcPr>
          <w:p>
            <w:r>
              <w:t>Keep the search record current and anchored to the docket</w:t>
            </w:r>
          </w:p>
        </w:tc>
        <w:tc>
          <w:tcPr>
            <w:tcW w:type="dxa" w:w="2880"/>
          </w:tcPr>
          <w:p>
            <w:r>
              <w:t>Kelly Snyder</w:t>
            </w:r>
          </w:p>
        </w:tc>
        <w:tc>
          <w:tcPr>
            <w:tcW w:type="dxa" w:w="2880"/>
          </w:tcPr>
          <w:p>
            <w:r>
              <w:t>Ongoing</w:t>
            </w:r>
          </w:p>
        </w:tc>
      </w:tr>
      <w:tr>
        <w:tc>
          <w:tcPr>
            <w:tcW w:type="dxa" w:w="2880"/>
          </w:tcPr>
          <w:p>
            <w:r>
              <w:t>Send the firm the board's timing for the clearance decision</w:t>
            </w:r>
          </w:p>
        </w:tc>
        <w:tc>
          <w:tcPr>
            <w:tcW w:type="dxa" w:w="2880"/>
          </w:tcPr>
          <w:p>
            <w:r>
              <w:t>Cynthia Hunter</w:t>
            </w:r>
          </w:p>
        </w:tc>
        <w:tc>
          <w:tcPr>
            <w:tcW w:type="dxa" w:w="2880"/>
          </w:tcPr>
          <w:p>
            <w:r>
              <w:t>This week</w:t>
            </w:r>
          </w:p>
        </w:tc>
      </w:tr>
      <w:tr>
        <w:tc>
          <w:tcPr>
            <w:tcW w:type="dxa" w:w="2880"/>
          </w:tcPr>
          <w:p>
            <w:r>
              <w:t>Assemble the written clearance report from the search record</w:t>
            </w:r>
          </w:p>
        </w:tc>
        <w:tc>
          <w:tcPr>
            <w:tcW w:type="dxa" w:w="2880"/>
          </w:tcPr>
          <w:p>
            <w:r>
              <w:t>Kelly Snyder</w:t>
            </w:r>
          </w:p>
        </w:tc>
        <w:tc>
          <w:tcPr>
            <w:tcW w:type="dxa" w:w="2880"/>
          </w:tcPr>
          <w:p>
            <w:r>
              <w:t>Once searches close</w:t>
            </w:r>
          </w:p>
        </w:tc>
      </w:tr>
      <w:tr>
        <w:tc>
          <w:tcPr>
            <w:tcW w:type="dxa" w:w="2880"/>
          </w:tcPr>
          <w:p>
            <w:r>
              <w:t>Route the risk read to counsel for review before the report issues</w:t>
            </w:r>
          </w:p>
        </w:tc>
        <w:tc>
          <w:tcPr>
            <w:tcW w:type="dxa" w:w="2880"/>
          </w:tcPr>
          <w:p>
            <w:r>
              <w:t>Ashley Williams</w:t>
            </w:r>
          </w:p>
        </w:tc>
        <w:tc>
          <w:tcPr>
            <w:tcW w:type="dxa" w:w="2880"/>
          </w:tcPr>
          <w:p>
            <w:r>
              <w:t>Before the report sends</w:t>
            </w:r>
          </w:p>
        </w:tc>
      </w:tr>
    </w:tbl>
    <w:p>
      <w:r>
        <w:t>The next session follows the close of the searches. Its purpose will be to read the draft report before it reaches the client. Nothing before then needs a decision from Cynthia Hunter beyond the board timing noted above.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Trademark Clearance for Jackson Inc</dc:title>
  <dc:subject/>
  <dc:creator>Kelly Snyder</dc:creator>
  <cp:keywords/>
  <dc:description>generated by python-docx</dc:description>
  <cp:lastModifiedBy>Kelly Snyder</cp:lastModifiedBy>
  <cp:revision>1</cp:revision>
  <dcterms:created xsi:type="dcterms:W3CDTF">2024-05-24T09:00:00Z</dcterms:created>
  <dcterms:modified xsi:type="dcterms:W3CDTF">2024-05-24T09:00:00Z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