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Keith-Duarte Prosecution Support</w:t>
      </w:r>
    </w:p>
    <w:p>
      <w:r>
        <w:t>Prepared by Heather Munoz, Partner, for Keith-Duarte. This report covers the current period and is written against the portfolio docket, matter by matter.</w:t>
      </w:r>
    </w:p>
    <w:p>
      <w:pPr>
        <w:pStyle w:val="Heading2"/>
      </w:pPr>
      <w:r>
        <w:t>Where the Engagement Stands</w:t>
      </w:r>
    </w:p>
    <w:p>
      <w:r>
        <w:t>The engagement is on schedule and on budget. We are roughly halfway through the work, every family in the portfolio is docketed and current, and no deadline has been missed or is at risk in the near window.</w:t>
      </w:r>
    </w:p>
    <w:p>
      <w:r>
        <w:t>Nothing on the matter needs a decision from you this period. One decision is coming next period, and it is described below so you can see it before it arrives. The rest is routine prosecution, which is where a portfolio should sit at this stage.</w:t>
      </w:r>
    </w:p>
    <w:p>
      <w:pPr>
        <w:pStyle w:val="Heading2"/>
      </w:pPr>
      <w:r>
        <w:t>Who Is on the Matter</w:t>
      </w:r>
    </w:p>
    <w:p>
      <w:r>
        <w:t>The same three people who started the engagement are still on it. Kelly Snyder prepares the responses and holds the docket, and Joseph Walker works the file histories and specifications behind them. I lead the matter and read everything before it reaches you.</w:t>
      </w:r>
    </w:p>
    <w:p>
      <w:r>
        <w:t>This is deliberate. The people who met you at the start are the people doing the work, and that does not change partway through a matter at this firm. If you ever want to talk to any of them directly, tell me and I will set it up.</w:t>
      </w:r>
    </w:p>
    <w:p>
      <w:pPr>
        <w:pStyle w:val="Heading2"/>
      </w:pPr>
      <w:r>
        <w:t>What We Completed This Period</w:t>
      </w:r>
    </w:p>
    <w:p>
      <w:r>
        <w:t>The work this period was steady prosecution, not firefighting. Each item below is filed or done and reflected on the docket. Kelly Snyder and Joseph Walker carried the bulk of it, and I read each response before it went out.</w:t>
      </w:r>
    </w:p>
    <w:p>
      <w:pPr>
        <w:pStyle w:val="ListBullet"/>
      </w:pPr>
      <w:r>
        <w:t>Kelly Snyder filed the office-action responses that were due and reconciled the full portfolio docket against the office record.</w:t>
      </w:r>
    </w:p>
    <w:p>
      <w:pPr>
        <w:pStyle w:val="ListBullet"/>
      </w:pPr>
      <w:r>
        <w:t>Joseph Walker read the file histories behind each response and confirmed the claim amendments are supported by the specifications.</w:t>
      </w:r>
    </w:p>
    <w:p>
      <w:pPr>
        <w:pStyle w:val="ListBullet"/>
      </w:pPr>
      <w:r>
        <w:t>We opened the one continuation the portfolio needed and docketed its new dates.</w:t>
      </w:r>
    </w:p>
    <w:p>
      <w:pPr>
        <w:pStyle w:val="ListBullet"/>
      </w:pPr>
      <w:r>
        <w:t>We corrected two dates on the calendar we inherited that did not match the office record. Neither was at risk, but both are now right.</w:t>
      </w:r>
    </w:p>
    <w:p>
      <w:pPr>
        <w:pStyle w:val="ListBullet"/>
      </w:pPr>
      <w:r>
        <w:t>Every family now has a confirmed date and an owner, so nothing sits unassigned.</w:t>
      </w:r>
    </w:p>
    <w:p>
      <w:r>
        <w:t>The correction is worth a line. An inherited calendar is a starting point, not a source of truth, so we confirm every date against the file before we rely on it. Both mismatches were small and neither cost you anything. That is the point of doing the reconciliation early rather than discovering it late.</w:t>
      </w:r>
    </w:p>
    <w:p>
      <w:pPr>
        <w:pStyle w:val="Heading2"/>
      </w:pPr>
      <w:r>
        <w:t>What Comes Next</w:t>
      </w:r>
    </w:p>
    <w:p>
      <w:r>
        <w:t>The next period is more of the same, with two responses coming due and one decision we will bring to you. The plan is below.</w:t>
      </w:r>
    </w:p>
    <w:p>
      <w:pPr>
        <w:pStyle w:val="ListBullet"/>
      </w:pPr>
      <w:r>
        <w:t>Kelly Snyder will draft and file the two responses now on the calendar.</w:t>
      </w:r>
    </w:p>
    <w:p>
      <w:pPr>
        <w:pStyle w:val="ListBullet"/>
      </w:pPr>
      <w:r>
        <w:t>Joseph Walker will read into the newest family before its first response is due.</w:t>
      </w:r>
    </w:p>
    <w:p>
      <w:pPr>
        <w:pStyle w:val="ListBullet"/>
      </w:pPr>
      <w:r>
        <w:t>We will bring you a single decision on whether an examiner interview is worth pursuing on one family, with the cost and the likely benefit laid out so you can choose.</w:t>
      </w:r>
    </w:p>
    <w:p>
      <w:r>
        <w:t>The interview question is the only one that needs you next period. An interview can save a round of prosecution on the flagged family, but it costs time and does not always land. We will send you the case for and against, and a number, before we do anything.</w:t>
      </w:r>
    </w:p>
    <w:p>
      <w:pPr>
        <w:pStyle w:val="Heading2"/>
      </w:pPr>
      <w:r>
        <w:t>Risks</w:t>
      </w:r>
    </w:p>
    <w:p>
      <w:r>
        <w:t>There is no material risk to report this period. The portfolio runs against live dates, so the standing risk is always a missed deadline, and our answer to it is the docket discipline described above.</w:t>
      </w:r>
    </w:p>
    <w:p>
      <w:r>
        <w:t>If any family draws a response deadline shorter than usual, we will tell you at once rather than wait for the next report. The same holds for anything an examiner raises that changes the shape of a family. You will not learn of a problem from a status report for the first time.</w:t>
      </w:r>
    </w:p>
    <w:p>
      <w:pPr>
        <w:pStyle w:val="Heading2"/>
      </w:pPr>
      <w:r>
        <w:t>Budget</w:t>
      </w:r>
    </w:p>
    <w:p>
      <w:r>
        <w:t>The engagement fee is $39,500, and the work is tracking within it. At the halfway point we have used a little under half of that amount, which is where a steady prosecution matter should sit at this stage.</w:t>
      </w:r>
    </w:p>
    <w:p>
      <w:r>
        <w:t>If anything above would take the work beyond the fee, we will tell you and quote it before we begin rather than bill you past the number you agreed to. The examiner interview is the one item that could do that, and we will price it for you as a separate line rather than fold it in.</w:t>
      </w:r>
    </w:p>
    <w:p>
      <w:r>
        <w:t>We will send the next report at the usual interval, and the one item that may need you before then is the interview decision, which we will put in front of you as soon as it is ripe. Call me if anything here needs more than a report can give.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Prosecution Support for Keith-Duarte</dc:title>
  <dc:subject/>
  <dc:creator>Heather Munoz</dc:creator>
  <cp:keywords/>
  <dc:description>generated by python-docx</dc:description>
  <cp:lastModifiedBy>Heather Munoz</cp:lastModifiedBy>
  <cp:revision>1</cp:revision>
  <dcterms:created xsi:type="dcterms:W3CDTF">2021-10-29T09:00:00Z</dcterms:created>
  <dcterms:modified xsi:type="dcterms:W3CDTF">2021-10-29T09:00:00Z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