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portfolio is on schedule, and this session was about keeping it there through the winter filings rather than repairing anything that had slipped; we met to walk the Keith-Duarte families one at a time, confirm the dates coming due, and agree who carries each response, and we came out of it with the calendar unchanged and the next round of office-action work assigned.</w:t>
      </w:r>
    </w:p>
    <w:p>
      <w:pPr>
        <w:pStyle w:val="Heading2"/>
      </w:pPr>
      <w:r>
        <w:t>Present</w:t>
      </w:r>
    </w:p>
    <w:p>
      <w:pPr>
        <w:pStyle w:val="ListBullet"/>
      </w:pPr>
      <w:r>
        <w:t>Heather Munoz, Partner, Prosecution</w:t>
      </w:r>
    </w:p>
    <w:p>
      <w:pPr>
        <w:pStyle w:val="ListBullet"/>
      </w:pPr>
      <w:r>
        <w:t>Kelly Snyder, Associate, Prosecution</w:t>
      </w:r>
    </w:p>
    <w:p>
      <w:pPr>
        <w:pStyle w:val="ListBullet"/>
      </w:pPr>
      <w:r>
        <w:t>Joseph Walker, Associate, Prosecution (minutes)</w:t>
      </w:r>
    </w:p>
    <w:p>
      <w:pPr>
        <w:pStyle w:val="ListBullet"/>
      </w:pPr>
      <w:r>
        <w:t>Joseph Palmer, General Manager, Keith-Duarte</w:t>
      </w:r>
    </w:p>
    <w:p>
      <w:pPr>
        <w:pStyle w:val="Heading2"/>
      </w:pPr>
      <w:r>
        <w:t>What We Covered</w:t>
      </w:r>
    </w:p>
    <w:p>
      <w:r>
        <w:t>Heather Munoz opened by reminding us that we are about halfway through the engagement, and that the middle is where a portfolio quietly goes wrong if the docket is not watched, so we spent the first part of the session reconciling Kelly Snyder's calendar against the office record one family at a time and found no surprises, which is the outcome we want and rarely get to report without a caveat. Kelly Snyder walked the responses that have gone out since kickoff and the two that are drafted and waiting on a partner's read, and we agreed that nothing in the current window is at genuine risk, though we flagged one family where an examiner interview would probably save a round of prosecution and asked Heather Munoz to weigh whether it is worth the client's money.</w:t>
      </w:r>
    </w:p>
    <w:p>
      <w:r>
        <w:t>On the technical side, I took the group through what I have found reading behind the responses, and the histories are clean enough that we are not fighting our own file, which matters more the deeper into examination we go; Kelly noted, fairly, that Joe tends to read further into a specification than a response strictly needs, and Heather Munoz's view was that on this portfolio the extra reading is cheap insurance and should continue. Joseph Palmer asked the practical questions a general manager asks, chiefly whether any of this threatens a date his board is watching, and we were able to tell him plainly that it does not, while being careful, as this firm is, not to promise an outcome the examiner still controls.</w:t>
      </w:r>
    </w:p>
    <w:p>
      <w:r>
        <w:t>Before we closed we set the shape of the next stretch, which is mostly steady prosecution with two responses to file and a single decision for the client to make, and Heather Munoz asked that the action items reach Joseph Palmer the same day, so that nothing the client needs to see waits behind a memo that has to be written and circulated first. We also agreed, since we are at the point in a matter where small things start to accumulate, that Kelly Snyder would keep a running list of the open questions rather than let them collect in email, so that the next session starts from a single page instead of four separate threads none of us has read in full.</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File the two drafted office-action responses once reviewed</w:t>
            </w:r>
          </w:p>
        </w:tc>
        <w:tc>
          <w:tcPr>
            <w:tcW w:type="dxa" w:w="2880"/>
          </w:tcPr>
          <w:p>
            <w:r>
              <w:t>Kelly Snyder</w:t>
            </w:r>
          </w:p>
        </w:tc>
        <w:tc>
          <w:tcPr>
            <w:tcW w:type="dxa" w:w="2880"/>
          </w:tcPr>
          <w:p>
            <w:r>
              <w:t>Next two weeks</w:t>
            </w:r>
          </w:p>
        </w:tc>
      </w:tr>
      <w:tr>
        <w:tc>
          <w:tcPr>
            <w:tcW w:type="dxa" w:w="2880"/>
          </w:tcPr>
          <w:p>
            <w:r>
              <w:t>Read into the newest family in the portfolio and flag what its first response must address</w:t>
            </w:r>
          </w:p>
        </w:tc>
        <w:tc>
          <w:tcPr>
            <w:tcW w:type="dxa" w:w="2880"/>
          </w:tcPr>
          <w:p>
            <w:r>
              <w:t>Joseph Walker</w:t>
            </w:r>
          </w:p>
        </w:tc>
        <w:tc>
          <w:tcPr>
            <w:tcW w:type="dxa" w:w="2880"/>
          </w:tcPr>
          <w:p>
            <w:r>
              <w:t>This month</w:t>
            </w:r>
          </w:p>
        </w:tc>
      </w:tr>
      <w:tr>
        <w:tc>
          <w:tcPr>
            <w:tcW w:type="dxa" w:w="2880"/>
          </w:tcPr>
          <w:p>
            <w:r>
              <w:t>Decide whether to request an examiner interview on the flagged family</w:t>
            </w:r>
          </w:p>
        </w:tc>
        <w:tc>
          <w:tcPr>
            <w:tcW w:type="dxa" w:w="2880"/>
          </w:tcPr>
          <w:p>
            <w:r>
              <w:t>Heather Munoz</w:t>
            </w:r>
          </w:p>
        </w:tc>
        <w:tc>
          <w:tcPr>
            <w:tcW w:type="dxa" w:w="2880"/>
          </w:tcPr>
          <w:p>
            <w:r>
              <w:t>This week</w:t>
            </w:r>
          </w:p>
        </w:tc>
      </w:tr>
      <w:tr>
        <w:tc>
          <w:tcPr>
            <w:tcW w:type="dxa" w:w="2880"/>
          </w:tcPr>
          <w:p>
            <w:r>
              <w:t>Keep the running list of open questions for the next session</w:t>
            </w:r>
          </w:p>
        </w:tc>
        <w:tc>
          <w:tcPr>
            <w:tcW w:type="dxa" w:w="2880"/>
          </w:tcPr>
          <w:p>
            <w:r>
              <w:t>Kelly Snyder</w:t>
            </w:r>
          </w:p>
        </w:tc>
        <w:tc>
          <w:tcPr>
            <w:tcW w:type="dxa" w:w="2880"/>
          </w:tcPr>
          <w:p>
            <w:r>
              <w:t>Ongoing</w:t>
            </w:r>
          </w:p>
        </w:tc>
      </w:tr>
      <w:tr>
        <w:tc>
          <w:tcPr>
            <w:tcW w:type="dxa" w:w="2880"/>
          </w:tcPr>
          <w:p>
            <w:r>
              <w:t>Send these minutes and the open dates to Joseph Palmer</w:t>
            </w:r>
          </w:p>
        </w:tc>
        <w:tc>
          <w:tcPr>
            <w:tcW w:type="dxa" w:w="2880"/>
          </w:tcPr>
          <w:p>
            <w:r>
              <w:t>Joseph Walker</w:t>
            </w:r>
          </w:p>
        </w:tc>
        <w:tc>
          <w:tcPr>
            <w:tcW w:type="dxa" w:w="2880"/>
          </w:tcPr>
          <w:p>
            <w:r>
              <w:t>Today</w:t>
            </w:r>
          </w:p>
        </w:tc>
      </w:tr>
    </w:tbl>
    <w:p>
      <w:r>
        <w:t>The one thing that has to happen before we meet again is Heather Munoz's call on the examiner interview, since both responses and the client's decision hang off it, so that is where we start next time.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Prosecution Support for Keith-Duarte</dc:title>
  <dc:subject/>
  <dc:creator>Joseph Walker</dc:creator>
  <cp:keywords/>
  <dc:description>generated by python-docx</dc:description>
  <cp:lastModifiedBy>Joseph Walker</cp:lastModifiedBy>
  <cp:revision>1</cp:revision>
  <dcterms:created xsi:type="dcterms:W3CDTF">2021-10-13T09:00:00Z</dcterms:created>
  <dcterms:modified xsi:type="dcterms:W3CDTF">2021-10-13T09:00:00Z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