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We are at the end of the engagement, and this session was a closeout rather than a working meeting: we walked the Keith-Duarte portfolio one last time to confirm that every family is where it should be, that nothing is left open without an owner, and that the record we hand back is clean enough for the next person who opens it, and we finished satisfied on all three counts.</w:t>
      </w:r>
    </w:p>
    <w:p>
      <w:pPr>
        <w:pStyle w:val="Heading2"/>
      </w:pPr>
      <w:r>
        <w:t>Present</w:t>
      </w:r>
    </w:p>
    <w:p>
      <w:pPr>
        <w:pStyle w:val="ListBullet"/>
      </w:pPr>
      <w:r>
        <w:t>Heather Munoz, Partner, Prosecution</w:t>
      </w:r>
    </w:p>
    <w:p>
      <w:pPr>
        <w:pStyle w:val="ListBullet"/>
      </w:pPr>
      <w:r>
        <w:t>Kelly Snyder, Associate, Prosecution</w:t>
      </w:r>
    </w:p>
    <w:p>
      <w:pPr>
        <w:pStyle w:val="ListBullet"/>
      </w:pPr>
      <w:r>
        <w:t>Joseph Walker, Associate, Prosecution (minutes)</w:t>
      </w:r>
    </w:p>
    <w:p>
      <w:pPr>
        <w:pStyle w:val="ListBullet"/>
      </w:pPr>
      <w:r>
        <w:t>Joseph Palmer, General Manager, Keith-Duarte</w:t>
      </w:r>
    </w:p>
    <w:p>
      <w:pPr>
        <w:pStyle w:val="Heading2"/>
      </w:pPr>
      <w:r>
        <w:t>What We Covered</w:t>
      </w:r>
    </w:p>
    <w:p>
      <w:r>
        <w:t>Heather Munoz took us through the portfolio one family at a time, and the picture is the one we set out to reach: the office-action responses that were live at kickoff are filed and docketed, the families that needed a continuation have it, and there is no deadline in the near window that this engagement leaves unattended. Kelly Snyder confirmed that the docket is fully reconciled against the office record and that every date now on the calendar is recorded with a clear note of what it is and what it needs, so that nothing we were carrying is left to be reconstructed later from memory.</w:t>
      </w:r>
    </w:p>
    <w:p>
      <w:r>
        <w:t>I walked the file histories one last time to be sure the record we are handing back reads cleanly, and it does; the responses track the examiners' rejections without overreaching, the claim amendments are supported by the specifications, and there is nothing in the wrapper a future reader would have to explain away, which is the standard this firm holds itself to on the way out of a matter as much as the way in. Joseph Palmer told us the portfolio is in the shape his board wanted at this stage and asked only that the closing summary be concrete about which applications remain in examination and which are through it, so that his team can brief the board without our having to be in the room.</w:t>
      </w:r>
    </w:p>
    <w:p>
      <w:r>
        <w:t>We agreed that the closeout package will be a short written summary organized the way we ran the work, family by family, with the open dates listed plainly and nothing dressed up as more settled than it is, and Kelly Snyder and I will build it this week for Heather Munoz to read before it reaches the client. We also spent a few minutes on the handoff itself, because a portfolio is only as good as the record the next person inherits, and we made sure the docket carries not just the dates but a plain note beside each one so that whoever opens the file after us does not have to call to learn what a date means.</w:t>
      </w:r>
    </w:p>
    <w:p>
      <w:pPr>
        <w:pStyle w:val="Heading2"/>
      </w:pPr>
      <w:r>
        <w:t>Action Items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Owner</w:t>
            </w:r>
          </w:p>
        </w:tc>
        <w:tc>
          <w:tcPr>
            <w:tcW w:type="dxa" w:w="2880"/>
          </w:tcPr>
          <w:p>
            <w:r>
              <w:rPr>
                <w:b/>
              </w:rPr>
              <w:t>Due</w:t>
            </w:r>
          </w:p>
        </w:tc>
      </w:tr>
      <w:tr>
        <w:tc>
          <w:tcPr>
            <w:tcW w:type="dxa" w:w="2880"/>
          </w:tcPr>
          <w:p>
            <w:r>
              <w:t>Assemble the family-by-family closeout summary with all open dates listed</w:t>
            </w:r>
          </w:p>
        </w:tc>
        <w:tc>
          <w:tcPr>
            <w:tcW w:type="dxa" w:w="2880"/>
          </w:tcPr>
          <w:p>
            <w:r>
              <w:t>Kelly Snyder</w:t>
            </w:r>
          </w:p>
        </w:tc>
        <w:tc>
          <w:tcPr>
            <w:tcW w:type="dxa" w:w="2880"/>
          </w:tcPr>
          <w:p>
            <w:r>
              <w:t>This week</w:t>
            </w:r>
          </w:p>
        </w:tc>
      </w:tr>
      <w:tr>
        <w:tc>
          <w:tcPr>
            <w:tcW w:type="dxa" w:w="2880"/>
          </w:tcPr>
          <w:p>
            <w:r>
              <w:t>Check every file history once more before the summary is finalized</w:t>
            </w:r>
          </w:p>
        </w:tc>
        <w:tc>
          <w:tcPr>
            <w:tcW w:type="dxa" w:w="2880"/>
          </w:tcPr>
          <w:p>
            <w:r>
              <w:t>Joseph Walker</w:t>
            </w:r>
          </w:p>
        </w:tc>
        <w:tc>
          <w:tcPr>
            <w:tcW w:type="dxa" w:w="2880"/>
          </w:tcPr>
          <w:p>
            <w:r>
              <w:t>This week</w:t>
            </w:r>
          </w:p>
        </w:tc>
      </w:tr>
      <w:tr>
        <w:tc>
          <w:tcPr>
            <w:tcW w:type="dxa" w:w="2880"/>
          </w:tcPr>
          <w:p>
            <w:r>
              <w:t>Review the closeout summary before it goes to the client</w:t>
            </w:r>
          </w:p>
        </w:tc>
        <w:tc>
          <w:tcPr>
            <w:tcW w:type="dxa" w:w="2880"/>
          </w:tcPr>
          <w:p>
            <w:r>
              <w:t>Heather Munoz</w:t>
            </w:r>
          </w:p>
        </w:tc>
        <w:tc>
          <w:tcPr>
            <w:tcW w:type="dxa" w:w="2880"/>
          </w:tcPr>
          <w:p>
            <w:r>
              <w:t>Before it sends</w:t>
            </w:r>
          </w:p>
        </w:tc>
      </w:tr>
      <w:tr>
        <w:tc>
          <w:tcPr>
            <w:tcW w:type="dxa" w:w="2880"/>
          </w:tcPr>
          <w:p>
            <w:r>
              <w:t>Send the final summary and open-date list to Joseph Palmer</w:t>
            </w:r>
          </w:p>
        </w:tc>
        <w:tc>
          <w:tcPr>
            <w:tcW w:type="dxa" w:w="2880"/>
          </w:tcPr>
          <w:p>
            <w:r>
              <w:t>Heather Munoz</w:t>
            </w:r>
          </w:p>
        </w:tc>
        <w:tc>
          <w:tcPr>
            <w:tcW w:type="dxa" w:w="2880"/>
          </w:tcPr>
          <w:p>
            <w:r>
              <w:t>Once reviewed</w:t>
            </w:r>
          </w:p>
        </w:tc>
      </w:tr>
    </w:tbl>
    <w:p>
      <w:r>
        <w:t>The one thing that has to happen before we close the file is Heather Munoz's read of the summary, so that is the last gate, and once it clears the engagement is complete and the record is the client's to keep.</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Hollowell Patent Group PLLC</w:t>
    </w:r>
  </w:p>
  <w:p>
    <w:r>
      <w:rPr>
        <w:sz w:val="18"/>
      </w:rPr>
      <w:t>www.hollowellpatent.com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Hollowell Patent Group PLLC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Prosecution Support for Keith-Duarte</dc:title>
  <dc:subject/>
  <dc:creator>Joseph Walker</dc:creator>
  <cp:keywords/>
  <dc:description>generated by python-docx</dc:description>
  <cp:lastModifiedBy>Joseph Walker</cp:lastModifiedBy>
  <cp:revision>1</cp:revision>
  <dcterms:created xsi:type="dcterms:W3CDTF">2022-01-11T09:00:00Z</dcterms:created>
  <dcterms:modified xsi:type="dcterms:W3CDTF">2022-01-11T09:00:00Z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