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Heather Munoz, Kelly Snyder</w:t>
        <w:br/>
        <w:t>From: Richard Henderson</w:t>
        <w:br/>
        <w:t>Re: Freedom-to-Operate Analysis for Middleton, Sullivan and Wiley</w:t>
      </w:r>
    </w:p>
    <w:p>
      <w:r>
        <w:t>This memo sets out how we run the freedom-to-operate analysis for Middleton, Sullivan and Wiley. The engagement opened on May 12, 2020. The job for the first stretch is narrow: fix the subject matter and get the search scope right, so everything built on top of it stands on something solid. We are not drawing conclusions yet, and we should not be. Read this as the plan of record for the matter, and tell me now if any of it does not fit how you expected the work to run.</w:t>
      </w:r>
    </w:p>
    <w:p>
      <w:r>
        <w:t>The reason to be careful at the front is simple. A freedom-to-operate opinion is only as good as the scope it runs against, and a scope that misses a feature produces an opinion that looks complete and is not. So we fix the subject matter in writing first, and we do not start searching until Heather Munoz has approved what we are searching for. Everything after that is search, read, chart, and review, in that order, and the order matters because each step assumes the one before it was done right.</w:t>
      </w:r>
    </w:p>
    <w:p>
      <w:pPr>
        <w:pStyle w:val="Heading2"/>
      </w:pPr>
      <w:r>
        <w:t>How the Work Breaks Down</w:t>
      </w:r>
    </w:p>
    <w:p>
      <w:pPr>
        <w:pStyle w:val="ListBullet"/>
      </w:pPr>
      <w:r>
        <w:t>Subject matter and search scope. I will fix the exact products and features to be cleared from the descriptions Barbara Blair sends over from Middleton, Sullivan and Wiley, and write them up as a defined scope before any searching starts. Kelly Snyder will check that scope against the docket so nothing we agreed to clear is left out of it. If a feature is described too loosely to search, I go back to Barbara Blair for the detail rather than guess at what she meant.</w:t>
      </w:r>
    </w:p>
    <w:p>
      <w:pPr>
        <w:pStyle w:val="ListBullet"/>
      </w:pPr>
      <w:r>
        <w:t>Searching. I will run the patent and published-application searches against that scope, United States first, and pull the references that read on the identified features. Kelly Snyder maintains the reference set and keeps it current as the searches turn more up. We record the search terms and the classes we ran, so the scope of the searching is on the record and not just in my head.</w:t>
      </w:r>
    </w:p>
    <w:p>
      <w:pPr>
        <w:pStyle w:val="ListBullet"/>
      </w:pPr>
      <w:r>
        <w:t>Claim reading and charts. I will chart the claims of the references that matter against the product descriptions, element by element, and flag every claim that touches infringement or validity for Heather Munoz rather than characterize it myself. Where a reference is close, it goes to her with the chart, not with my opinion attached to it.</w:t>
      </w:r>
    </w:p>
    <w:p>
      <w:pPr>
        <w:pStyle w:val="ListBullet"/>
      </w:pPr>
      <w:r>
        <w:t>Analysis and opinion. Heather Munoz reviews the charts family by family, reaches the conclusions, and carries them into the written freedom-to-operate opinion that goes to the client. That call is hers, not ours, and nothing that reads as a conclusion on risk leaves this office under anyone else's name.</w:t>
      </w:r>
    </w:p>
    <w:p>
      <w:r>
        <w:t>One rule on the client side while the work is open. Anything that goes to Middleton, Sullivan and Wiley that touches a conclusion goes through Heather Munoz first. Routine scope and materials questions to Barbara Blair I will handle directly, and I will copy the two of you so the thread stays in one place.</w:t>
      </w:r>
    </w:p>
    <w:p>
      <w:pPr>
        <w:pStyle w:val="Heading2"/>
      </w:pPr>
      <w:r>
        <w:t>Where We Start</w:t>
      </w:r>
    </w:p>
    <w:p>
      <w:pPr>
        <w:pStyle w:val="ListBullet"/>
      </w:pPr>
      <w:r>
        <w:t>Kelly Snyder: open the matter on the docket and stand up the reference set and the engagement file.</w:t>
      </w:r>
    </w:p>
    <w:p>
      <w:pPr>
        <w:pStyle w:val="ListBullet"/>
      </w:pPr>
      <w:r>
        <w:t>Me: send Barbara Blair the list of what we need to fix the scope, and turn her descriptions into a written search scope for Heather Munoz to approve before any searching begins.</w:t>
      </w:r>
    </w:p>
    <w:p>
      <w:pPr>
        <w:pStyle w:val="ListBullet"/>
      </w:pPr>
      <w:r>
        <w:t>Heather Munoz: review and sign off the search scope once it is drafted, so the searching runs against something she has approved rather than against my read alone.</w:t>
      </w:r>
    </w:p>
    <w:p>
      <w:r>
        <w:t>Keep everything on the docket as we go. Every reference we pull, every chart, and every date tied to this matter belongs in the engagement file and not in anyone's private notes. Kelly Snyder owns that file; route things to her so a single record stays complete.</w:t>
      </w:r>
    </w:p>
    <w:p>
      <w:r>
        <w:t>The first thing that has to happen is the scope. I will have a draft to Heather Munoz once Barbara Blair's descriptions are in, and the searching starts after she approves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Freedom-to-Operate Analysis for Middleton, Sullivan and Wiley</dc:title>
  <dc:subject/>
  <dc:creator>Richard Henderson</dc:creator>
  <cp:keywords/>
  <dc:description>generated by python-docx</dc:description>
  <cp:lastModifiedBy>Richard Henderson</cp:lastModifiedBy>
  <cp:revision>1</cp:revision>
  <dcterms:created xsi:type="dcterms:W3CDTF">2020-05-15T09:00:00Z</dcterms:created>
  <dcterms:modified xsi:type="dcterms:W3CDTF">2020-05-15T09:00:00Z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