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Matter: Freedom-to-Operate Analysis for Middleton, Sullivan and Wiley</w:t>
        <w:br/>
        <w:t>Prepared by Richard Henderson, Patent Agent, Hollowell Patent Group</w:t>
      </w:r>
    </w:p>
    <w:p>
      <w:pPr>
        <w:pStyle w:val="Heading2"/>
      </w:pPr>
      <w:r>
        <w:t>Where we stand</w:t>
      </w:r>
    </w:p>
    <w:p>
      <w:r>
        <w:t>The analysis is on schedule and inside its budget, and we have moved from searching into reading. The searches on the features Middleton, Sullivan and Wiley asked us to clear are complete, the reference set is stable, and the claim charts are underway. We have not reached any conclusion on risk yet, and I want to be plain that we will not report one until the reading behind it is finished. This report is a picture of the work, not an opinion on it.</w:t>
      </w:r>
    </w:p>
    <w:p>
      <w:r>
        <w:t>We are about at the midpoint of the engagement, and the work is where it should be for that. The searching, which is the front half, is done. The reading and the written opinion are the back half, and the reading is now underway. The families divide the work cleanly, so progress from here is countable: each family gets charted, then reviewed, then folded into the opinion.</w:t>
      </w:r>
    </w:p>
    <w:p>
      <w:pPr>
        <w:pStyle w:val="Heading2"/>
      </w:pPr>
      <w:r>
        <w:t>Completed since the last report</w:t>
      </w:r>
    </w:p>
    <w:p>
      <w:r>
        <w:t>The searching is done for the priority families. Kelly Snyder ran the United States searches to the scope we set at the front, pulled the patents and published applications that read on the identified features, and has kept the reference set current as later searches added to it. The set is now stable enough to read against, which is the milestone this period was built around. We recorded the search terms and the classes we ran, so the coverage is on the record and can be checked, not carried in anyone's memory.</w:t>
      </w:r>
    </w:p>
    <w:p>
      <w:r>
        <w:t>The claim reading has started. I have begun charting the claims of the first family against the product descriptions, element by element, and Heather Munoz has reviewed that first family's charts family by family, in the structured pass she runs on work of this kind. Anything in the charts that touches infringement or validity goes to her rather than being characterized by me or by Kelly Snyder, so the conclusions stay with the partner who signs them. A chart maps each element of a claim against the corresponding part of the product, so a reference either reads on the product element by element or it does not, and the chart shows which.</w:t>
      </w:r>
    </w:p>
    <w:p>
      <w:pPr>
        <w:pStyle w:val="ListBullet"/>
      </w:pPr>
      <w:r>
        <w:t>United States searches on the priority families, complete.</w:t>
      </w:r>
    </w:p>
    <w:p>
      <w:pPr>
        <w:pStyle w:val="ListBullet"/>
      </w:pPr>
      <w:r>
        <w:t>Reference set stable and current through the latest searches.</w:t>
      </w:r>
    </w:p>
    <w:p>
      <w:pPr>
        <w:pStyle w:val="ListBullet"/>
      </w:pPr>
      <w:r>
        <w:t>Claim charts underway, starting with the first family, element by element.</w:t>
      </w:r>
    </w:p>
    <w:p>
      <w:pPr>
        <w:pStyle w:val="ListBullet"/>
      </w:pPr>
      <w:r>
        <w:t>Partner review of the first family's charts, complete.</w:t>
      </w:r>
    </w:p>
    <w:p>
      <w:pPr>
        <w:pStyle w:val="Heading2"/>
      </w:pPr>
      <w:r>
        <w:t>The next stretch</w:t>
      </w:r>
    </w:p>
    <w:p>
      <w:r>
        <w:t>Three things carry the work from here. Kelly Snyder and I finish charting the remaining families against the same scope. Heather Munoz reviews each family's charts as it comes ready, so the review runs alongside the charting instead of waiting for all of it. When the charts and the reviews are complete, Heather Munoz begins the written freedom-to-operate opinion that carries the conclusions, and that opinion is the deliverable this engagement is built to produce. The opinion follows the families, states plainly what it covers and what it does not, and hedges where the record is close instead of resolving a question more firmly than the searching supports.</w:t>
      </w:r>
    </w:p>
    <w:p>
      <w:pPr>
        <w:pStyle w:val="Heading2"/>
      </w:pPr>
      <w:r>
        <w:t>Budget</w:t>
      </w:r>
    </w:p>
    <w:p>
      <w:r>
        <w:t>The engagement is a fixed fee of $113,500, set at the outset so that Middleton, Sullivan and Wiley can put a question to us without watching a clock. The work is inside that fee and we expect it to stay there. The fee covers the searching, the analysis, and one written opinion; work outside it, such as an infringement or validity opinion on a single patent or an extension to markets outside the United States, we would scope and quote before starting, and none of that is in front of us now.</w:t>
      </w:r>
    </w:p>
    <w:p>
      <w:pPr>
        <w:pStyle w:val="Heading2"/>
      </w:pPr>
      <w:r>
        <w:t>Risks and watch items</w:t>
      </w:r>
    </w:p>
    <w:p>
      <w:r>
        <w:t>Two things are worth watching. The first is the product. This analysis is only as good as the descriptions it runs against, so if anything Middleton, Sullivan and Wiley is taking to market changes from what we scoped, tell us early and we will fold it in before it becomes a gap in the opinion. The second is the references that sit close. A handful of them are near enough to the claims that Heather Munoz will want a careful read rather than a quick one, and a careful read is the right call on a freedom-to-operate question.</w:t>
      </w:r>
    </w:p>
    <w:p>
      <w:r>
        <w:t>On dates, the docket is current and every date tied to this matter is on it. Kelly Snyder owns that file, and nothing on this engagement is tracked in anyone's private notes. A missed date is the one mistake this firm does not absorb, so the docket is checked, not assumed.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Freedom-to-Operate Analysis for Middleton, Sullivan and Wiley</dc:title>
  <dc:subject/>
  <dc:creator>Richard Henderson</dc:creator>
  <cp:keywords/>
  <dc:description>generated by python-docx</dc:description>
  <cp:lastModifiedBy>Richard Henderson</cp:lastModifiedBy>
  <cp:revision>1</cp:revision>
  <dcterms:created xsi:type="dcterms:W3CDTF">2020-09-17T09:00:00Z</dcterms:created>
  <dcterms:modified xsi:type="dcterms:W3CDTF">2020-09-17T09:00:00Z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