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Matter: Freedom-to-Operate Analysis for Middleton, Sullivan and Wiley</w:t>
        <w:br/>
        <w:t>Prepared by Richard Henderson, Patent Agent, Hollowell Patent Group</w:t>
      </w:r>
    </w:p>
    <w:p>
      <w:pPr>
        <w:pStyle w:val="Heading2"/>
      </w:pPr>
      <w:r>
        <w:t>Bottom line</w:t>
      </w:r>
    </w:p>
    <w:p>
      <w:r>
        <w:t>The analysis is in its final stretch and inside its budget. The charting and the family reviews are done, and the written opinion is drafted and in Heather Munoz's final review. We have not reported a conclusion on risk, and we will not until Heather Munoz has signed the opinion that carries it. This update covers the work; the opinion will carry the answer. The engagement was built to produce one written freedom-to-operate opinion, and that opinion is now the last thing between the work and its delivery.</w:t>
      </w:r>
    </w:p>
    <w:p>
      <w:pPr>
        <w:pStyle w:val="Heading2"/>
      </w:pPr>
      <w:r>
        <w:t>Completed since the last update</w:t>
      </w:r>
    </w:p>
    <w:p>
      <w:r>
        <w:t>The searching and the reading are finished. Kelly Snyder closed out the United States searches on every priority family and settled the reference set, so the record the opinion rests on is fixed. I charted the claims of each family against the product descriptions, element by element, and flagged every reference that sits close to a claim for Heather Munoz rather than characterizing it myself. The search terms and classes are on the record with the references, so the coverage behind the opinion can be checked rather than taken on trust.</w:t>
      </w:r>
    </w:p>
    <w:p>
      <w:r>
        <w:t>Heather Munoz has reviewed the families family by family, in the structured pass she runs on this work, and has closed the last of them this period. Where a reference is close, she has read it carefully rather than quickly, which is the right call on a freedom-to-operate question and the reason the reviews took the time they did. That review is the substance of the engagement; the searching feeds it and the opinion records it, but the judgment is hers and it is where the value sits.</w:t>
      </w:r>
    </w:p>
    <w:p>
      <w:pPr>
        <w:pStyle w:val="ListBullet"/>
      </w:pPr>
      <w:r>
        <w:t>United States searches on every priority family, complete and closed.</w:t>
      </w:r>
    </w:p>
    <w:p>
      <w:pPr>
        <w:pStyle w:val="ListBullet"/>
      </w:pPr>
      <w:r>
        <w:t>Reference set settled, so the record the opinion rests on is fixed.</w:t>
      </w:r>
    </w:p>
    <w:p>
      <w:pPr>
        <w:pStyle w:val="ListBullet"/>
      </w:pPr>
      <w:r>
        <w:t>Claim charts for each family, element by element against the product descriptions.</w:t>
      </w:r>
    </w:p>
    <w:p>
      <w:pPr>
        <w:pStyle w:val="ListBullet"/>
      </w:pPr>
      <w:r>
        <w:t>Partner review of every family, with close references read carefully.</w:t>
      </w:r>
    </w:p>
    <w:p>
      <w:pPr>
        <w:pStyle w:val="ListBullet"/>
      </w:pPr>
      <w:r>
        <w:t>The written freedom-to-operate opinion, drafted in full and in final review.</w:t>
      </w:r>
    </w:p>
    <w:p>
      <w:pPr>
        <w:pStyle w:val="ListBullet"/>
      </w:pPr>
      <w:r>
        <w:t>Search terms and classes recorded with the references, so the coverage can be checked.</w:t>
      </w:r>
    </w:p>
    <w:p>
      <w:pPr>
        <w:pStyle w:val="Heading2"/>
      </w:pPr>
      <w:r>
        <w:t>What remains</w:t>
      </w:r>
    </w:p>
    <w:p>
      <w:r>
        <w:t>Three things close the engagement. Heather Munoz finishes her final review of the drafted opinion. She signs it, and it goes to Middleton, Sullivan and Wiley in writing, with a call to walk through it. Kelly Snyder then closes the engagement file and the docket entries for the matter, so the record is complete and nothing is left in private notes. None of these steps waits on a search or a chart; the record is fixed, and what is left is the partner's read of it and the delivery.</w:t>
      </w:r>
    </w:p>
    <w:p>
      <w:r>
        <w:t>We are in the final stretch. The remaining work is Heather Munoz's review and signature and the close-out, and none of it depends on anything outstanding from your side except a confirmation that the products have not changed.</w:t>
      </w:r>
    </w:p>
    <w:p>
      <w:pPr>
        <w:pStyle w:val="Heading2"/>
      </w:pPr>
      <w:r>
        <w:t>Fee status</w:t>
      </w:r>
    </w:p>
    <w:p>
      <w:r>
        <w:t>The engagement is a fixed fee of $113,500, set at the outset so a question could be put to us without watching a clock, and the work has stayed inside it. The fee covers the searching, the analysis, and the one written opinion now in final review. Nothing outside that scope has come up; an infringement or validity opinion on a single patent, or an extension to markets outside the United States, would be scoped and quoted before any of it began, and none is in front of us. If the analysis had turned up something that pushed the work past a freedom-to-operate opinion, we would have raised it and priced it before going further; it did not, and the engagement ends inside the fee it started with.</w:t>
      </w:r>
    </w:p>
    <w:p>
      <w:pPr>
        <w:pStyle w:val="Heading2"/>
      </w:pPr>
      <w:r>
        <w:t>Open risks</w:t>
      </w:r>
    </w:p>
    <w:p>
      <w:r>
        <w:t>There is little left to go wrong, and it is worth naming what there is. A reference could surface late; if one does, Heather Munoz reads it before the opinion is signed rather than after, so nothing final rests on an incomplete record. The other watch item is the product. If anything Middleton, Sullivan and Wiley is taking to market has changed since we set the scope, we need it before the opinion is signed, because the opinion is only as good as the descriptions it runs against. On dates, the docket is current and every date on this matter is on it. A missed date is the one mistake this firm does not absorb, and there is none outstanding on this matter.</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Hollowell Patent Group PLLC</w:t>
    </w:r>
  </w:p>
  <w:p>
    <w:r>
      <w:rPr>
        <w:sz w:val="18"/>
      </w:rPr>
      <w:t>www.hollowellpatent.com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Hollowell Patent Group PLLC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Status Report: Freedom-to-Operate Analysis for Middleton, Sullivan and Wiley</dc:title>
  <dc:subject/>
  <dc:creator>Richard Henderson</dc:creator>
  <cp:keywords/>
  <dc:description>generated by python-docx</dc:description>
  <cp:lastModifiedBy>Richard Henderson</cp:lastModifiedBy>
  <cp:revision>1</cp:revision>
  <dcterms:created xsi:type="dcterms:W3CDTF">2021-01-15T09:00:00Z</dcterms:created>
  <dcterms:modified xsi:type="dcterms:W3CDTF">2021-01-15T09:00:00Z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