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Working Session — Freedom-to-Operate Analysis for Middleton, Sullivan and Wiley</w:t>
      </w:r>
    </w:p>
    <w:p>
      <w:r>
        <w:t>Minutes taken by Heather Munoz. This was a working review of where the analysis stands and what it needs next. No conclusion on risk was reached or reported, and none will be until the reading behind it is complete.</w:t>
      </w:r>
    </w:p>
    <w:p>
      <w:pPr>
        <w:pStyle w:val="Heading3"/>
      </w:pPr>
      <w:r>
        <w:t>Attendees</w:t>
      </w:r>
    </w:p>
    <w:p>
      <w:pPr>
        <w:pStyle w:val="ListBullet"/>
      </w:pPr>
      <w:r>
        <w:t>Heather Munoz, Partner, Hollowell Patent Group</w:t>
      </w:r>
    </w:p>
    <w:p>
      <w:pPr>
        <w:pStyle w:val="ListBullet"/>
      </w:pPr>
      <w:r>
        <w:t>Richard Henderson, Patent Agent</w:t>
      </w:r>
    </w:p>
    <w:p>
      <w:pPr>
        <w:pStyle w:val="ListBullet"/>
      </w:pPr>
      <w:r>
        <w:t>Kelly Snyder, Associate</w:t>
      </w:r>
    </w:p>
    <w:p>
      <w:pPr>
        <w:pStyle w:val="ListBullet"/>
      </w:pPr>
      <w:r>
        <w:t>Barbara Blair, Director of Operations, Middleton, Sullivan and Wiley</w:t>
      </w:r>
    </w:p>
    <w:p>
      <w:pPr>
        <w:pStyle w:val="Heading3"/>
      </w:pPr>
      <w:r>
        <w:t>Scope</w:t>
      </w:r>
    </w:p>
    <w:p>
      <w:r>
        <w:t>The flagged features still match what Middleton, Sullivan and Wiley is taking to market, with two exceptions. Two features in the descriptions are drawn loosely enough that we cannot search them cleanly. Barbara Blair will confirm the current wording on both, so the scope stays tied to the real product and not to a paraphrase of it. Richard Henderson flagged both; they read as marketing language rather than the technical description a search needs.</w:t>
      </w:r>
    </w:p>
    <w:p>
      <w:r>
        <w:t>We confirmed again that the analysis covers the United States only. Markets outside it are not in scope, and we would price that work separately before starting it. Barbara Blair raised no change on that point.</w:t>
      </w:r>
    </w:p>
    <w:p>
      <w:pPr>
        <w:pStyle w:val="Heading3"/>
      </w:pPr>
      <w:r>
        <w:t>Search coverage</w:t>
      </w:r>
    </w:p>
    <w:p>
      <w:r>
        <w:t>The United States searches on the priority families are substantially complete. Kelly Snyder ran them to the scope we set and is keeping the reference set current as later searches add to it. A small number of classes remain to run, and Kelly Snyder expects to clear those shortly.</w:t>
      </w:r>
    </w:p>
    <w:p>
      <w:r>
        <w:t>The reference set is close to stable, which is the point at which reading can begin in earnest. Richard Henderson has started charting the first family, element by element, against the product descriptions. He noted several references that sit close to the claims; those come to me for a careful read rather than a quick characterization. Close here has a plain meaning: the reference reads on enough elements of a claim that whether it reads on all of them is a real question, not a formality.</w:t>
      </w:r>
    </w:p>
    <w:p>
      <w:pPr>
        <w:pStyle w:val="Heading3"/>
      </w:pPr>
      <w:r>
        <w:t>How conclusions are handled</w:t>
      </w:r>
    </w:p>
    <w:p>
      <w:r>
        <w:t>One rule was restated for the record. Anything in the charts that touches infringement or validity comes to me, and neither Richard Henderson nor Kelly Snyder characterizes it on their own. Nothing that reads as a view on risk will reach Middleton, Sullivan and Wiley before the searching behind it is done and I have reviewed it. The reason is practical: an answer that runs ahead of the searching can change once the searching catches up, and a client is better served by one answer that holds than by two that do not agree.</w:t>
      </w:r>
    </w:p>
    <w:p>
      <w:pPr>
        <w:pStyle w:val="Heading3"/>
      </w:pPr>
      <w:r>
        <w:t>Docket</w:t>
      </w:r>
    </w:p>
    <w:p>
      <w:r>
        <w:t>The docket is current. Every date and reference tied to this matter is in the engagement file, which Kelly Snyder owns, and nothing is being tracked in private notes. Barbara Blair asked how she would see progress between sessions; a short written update will go to her against the docket number rather than as a separate report. Barbara Blair will get the docket number with the first of those updates, so she can file our correspondence against it on her side.</w:t>
      </w:r>
    </w:p>
    <w:p>
      <w:pPr>
        <w:pStyle w:val="Heading3"/>
      </w:pPr>
      <w:r>
        <w:t>Action items</w:t>
      </w:r>
    </w:p>
    <w:tbl>
      <w:tblPr>
        <w:tblStyle w:val="TableGrid"/>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Owner</w:t>
            </w:r>
          </w:p>
        </w:tc>
      </w:tr>
      <w:tr>
        <w:tc>
          <w:tcPr>
            <w:tcW w:type="dxa" w:w="4320"/>
          </w:tcPr>
          <w:p>
            <w:r>
              <w:t>Confirm the current wording of the two loosely drawn features</w:t>
            </w:r>
          </w:p>
        </w:tc>
        <w:tc>
          <w:tcPr>
            <w:tcW w:type="dxa" w:w="4320"/>
          </w:tcPr>
          <w:p>
            <w:r>
              <w:t>Barbara Blair</w:t>
            </w:r>
          </w:p>
        </w:tc>
      </w:tr>
      <w:tr>
        <w:tc>
          <w:tcPr>
            <w:tcW w:type="dxa" w:w="4320"/>
          </w:tcPr>
          <w:p>
            <w:r>
              <w:t>Finish the remaining class searches on the priority families</w:t>
            </w:r>
          </w:p>
        </w:tc>
        <w:tc>
          <w:tcPr>
            <w:tcW w:type="dxa" w:w="4320"/>
          </w:tcPr>
          <w:p>
            <w:r>
              <w:t>Kelly Snyder</w:t>
            </w:r>
          </w:p>
        </w:tc>
      </w:tr>
      <w:tr>
        <w:tc>
          <w:tcPr>
            <w:tcW w:type="dxa" w:w="4320"/>
          </w:tcPr>
          <w:p>
            <w:r>
              <w:t>Continue charting the first family and route close references for review</w:t>
            </w:r>
          </w:p>
        </w:tc>
        <w:tc>
          <w:tcPr>
            <w:tcW w:type="dxa" w:w="4320"/>
          </w:tcPr>
          <w:p>
            <w:r>
              <w:t>Richard Henderson</w:t>
            </w:r>
          </w:p>
        </w:tc>
      </w:tr>
      <w:tr>
        <w:tc>
          <w:tcPr>
            <w:tcW w:type="dxa" w:w="4320"/>
          </w:tcPr>
          <w:p>
            <w:r>
              <w:t>Review the first family's charts and the close references</w:t>
            </w:r>
          </w:p>
        </w:tc>
        <w:tc>
          <w:tcPr>
            <w:tcW w:type="dxa" w:w="4320"/>
          </w:tcPr>
          <w:p>
            <w:r>
              <w:t>Heather Munoz</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Freedom-to-Operate Analysis for Middleton, Sullivan and Wiley</dc:title>
  <dc:subject/>
  <dc:creator>Heather Munoz</dc:creator>
  <cp:keywords/>
  <dc:description>generated by python-docx</dc:description>
  <cp:lastModifiedBy>Heather Munoz</cp:lastModifiedBy>
  <cp:revision>1</cp:revision>
  <dcterms:created xsi:type="dcterms:W3CDTF">2020-08-21T09:00:00Z</dcterms:created>
  <dcterms:modified xsi:type="dcterms:W3CDTF">2020-08-21T09:00:00Z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