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pPr>
      <w:r>
        <w:t>Working Session — Freedom-to-Operate Analysis for Middleton, Sullivan and Wiley</w:t>
      </w:r>
    </w:p>
    <w:p>
      <w:r>
        <w:t>Minutes taken by Heather Munoz. The analysis is in its late stage. The charting is done, the family reviews are nearly finished, and the written opinion is in draft. No conclusion on risk is stated here; the opinion carries the conclusions, and I have not signed it.</w:t>
      </w:r>
    </w:p>
    <w:p>
      <w:pPr>
        <w:pStyle w:val="Heading3"/>
      </w:pPr>
      <w:r>
        <w:t>Attendees</w:t>
      </w:r>
    </w:p>
    <w:p>
      <w:pPr>
        <w:pStyle w:val="ListBullet"/>
      </w:pPr>
      <w:r>
        <w:t>Heather Munoz, Partner, Hollowell Patent Group</w:t>
      </w:r>
    </w:p>
    <w:p>
      <w:pPr>
        <w:pStyle w:val="ListBullet"/>
      </w:pPr>
      <w:r>
        <w:t>Richard Henderson, Patent Agent</w:t>
      </w:r>
    </w:p>
    <w:p>
      <w:pPr>
        <w:pStyle w:val="ListBullet"/>
      </w:pPr>
      <w:r>
        <w:t>Kelly Snyder, Associate</w:t>
      </w:r>
    </w:p>
    <w:p>
      <w:pPr>
        <w:pStyle w:val="ListBullet"/>
      </w:pPr>
      <w:r>
        <w:t>Barbara Blair, Director of Operations, Middleton, Sullivan and Wiley</w:t>
      </w:r>
    </w:p>
    <w:p>
      <w:pPr>
        <w:pStyle w:val="Heading3"/>
      </w:pPr>
      <w:r>
        <w:t>Status</w:t>
      </w:r>
    </w:p>
    <w:p>
      <w:r>
        <w:t>Richard Henderson and Kelly Snyder have charted every priority family against the scope we set, element by element. I have reviewed most of the families family by family, in the structured pass I run on this work, and I have a short list of families left to close. Kelly Snyder has kept the reference set current through the last of the searches. Nothing new has come in from the searches for some weeks, which is what tells us the landscape is settled and the reading can be trusted as complete.</w:t>
      </w:r>
    </w:p>
    <w:p>
      <w:r>
        <w:t>The features Middleton, Sullivan and Wiley asked us to clear are all covered by the charts. Where a reference sits close to a claim, it is flagged in the chart and carried into my review rather than resolved by the agents. That is where the careful reading is going now. What is left is judgment, not search; the material to reach a conclusion is in hand, and the conclusion is mine to reach.</w:t>
      </w:r>
    </w:p>
    <w:p>
      <w:pPr>
        <w:pStyle w:val="Heading3"/>
      </w:pPr>
      <w:r>
        <w:t>Where the opinion stands</w:t>
      </w:r>
    </w:p>
    <w:p>
      <w:r>
        <w:t>I have started the written freedom-to-operate opinion. It is drafted in the sections tied to the families I have finished reviewing, and it is open in the sections tied to the families I have not. The opinion will hedge where the record is close and say so plainly, which is the only honest way to write one. Counsel who writes that a product does not infringe, without qualification, is writing a liability; the opinion says what the record supports and marks where it stops.</w:t>
      </w:r>
    </w:p>
    <w:p>
      <w:r>
        <w:t>We will not send a partial view ahead of the finished opinion. When it is complete and I have signed it, Middleton, Sullivan and Wiley will have it in writing and we will walk through it.</w:t>
      </w:r>
    </w:p>
    <w:p>
      <w:pPr>
        <w:pStyle w:val="Heading3"/>
      </w:pPr>
      <w:r>
        <w:t>Open points</w:t>
      </w:r>
    </w:p>
    <w:p>
      <w:r>
        <w:t>One question for the client side. If anything in the products has changed since we set the scope, we need it now, before the opinion is final, so it is read rather than missed. Barbara Blair will check with the product group at Middleton, Sullivan and Wiley and confirm either way. If there is a change, it needs to be read into the opinion before we sign, not discovered against the old scope afterward.</w:t>
      </w:r>
    </w:p>
    <w:p>
      <w:pPr>
        <w:pStyle w:val="Heading3"/>
      </w:pPr>
      <w:r>
        <w:t>Docket</w:t>
      </w:r>
    </w:p>
    <w:p>
      <w:r>
        <w:t>The docket is current and every date on this matter is on it. Kelly Snyder owns the engagement file and will close out the search records as the last families are reviewed. When the opinion is signed, the file will hold the searches, the charts, the reviews, and the opinion itself, which is the complete record of what we did and why.</w:t>
      </w:r>
    </w:p>
    <w:p>
      <w:pPr>
        <w:pStyle w:val="Heading3"/>
      </w:pPr>
      <w:r>
        <w:t>Action items</w:t>
      </w:r>
    </w:p>
    <w:tbl>
      <w:tblPr>
        <w:tblStyle w:val="TableGrid"/>
        <w:tblW w:type="auto" w:w="0"/>
        <w:tblLook w:firstColumn="1" w:firstRow="1" w:lastColumn="0" w:lastRow="0" w:noHBand="0" w:noVBand="1" w:val="04A0"/>
      </w:tblPr>
      <w:tblGrid>
        <w:gridCol w:w="4320"/>
        <w:gridCol w:w="4320"/>
      </w:tblGrid>
      <w:tr>
        <w:tc>
          <w:tcPr>
            <w:tcW w:type="dxa" w:w="4320"/>
          </w:tcPr>
          <w:p>
            <w:r>
              <w:rPr>
                <w:b/>
              </w:rPr>
              <w:t>Action</w:t>
            </w:r>
          </w:p>
        </w:tc>
        <w:tc>
          <w:tcPr>
            <w:tcW w:type="dxa" w:w="4320"/>
          </w:tcPr>
          <w:p>
            <w:r>
              <w:rPr>
                <w:b/>
              </w:rPr>
              <w:t>Owner</w:t>
            </w:r>
          </w:p>
        </w:tc>
      </w:tr>
      <w:tr>
        <w:tc>
          <w:tcPr>
            <w:tcW w:type="dxa" w:w="4320"/>
          </w:tcPr>
          <w:p>
            <w:r>
              <w:t>Confirm whether the products have changed since scope was set</w:t>
            </w:r>
          </w:p>
        </w:tc>
        <w:tc>
          <w:tcPr>
            <w:tcW w:type="dxa" w:w="4320"/>
          </w:tcPr>
          <w:p>
            <w:r>
              <w:t>Barbara Blair</w:t>
            </w:r>
          </w:p>
        </w:tc>
      </w:tr>
      <w:tr>
        <w:tc>
          <w:tcPr>
            <w:tcW w:type="dxa" w:w="4320"/>
          </w:tcPr>
          <w:p>
            <w:r>
              <w:t>Close the reference set and search records for the matter</w:t>
            </w:r>
          </w:p>
        </w:tc>
        <w:tc>
          <w:tcPr>
            <w:tcW w:type="dxa" w:w="4320"/>
          </w:tcPr>
          <w:p>
            <w:r>
              <w:t>Kelly Snyder</w:t>
            </w:r>
          </w:p>
        </w:tc>
      </w:tr>
      <w:tr>
        <w:tc>
          <w:tcPr>
            <w:tcW w:type="dxa" w:w="4320"/>
          </w:tcPr>
          <w:p>
            <w:r>
              <w:t>Finish the charting notes on the last families for review</w:t>
            </w:r>
          </w:p>
        </w:tc>
        <w:tc>
          <w:tcPr>
            <w:tcW w:type="dxa" w:w="4320"/>
          </w:tcPr>
          <w:p>
            <w:r>
              <w:t>Richard Henderson</w:t>
            </w:r>
          </w:p>
        </w:tc>
      </w:tr>
      <w:tr>
        <w:tc>
          <w:tcPr>
            <w:tcW w:type="dxa" w:w="4320"/>
          </w:tcPr>
          <w:p>
            <w:r>
              <w:t>Complete the remaining family reviews and continue the written opinion</w:t>
            </w:r>
          </w:p>
        </w:tc>
        <w:tc>
          <w:tcPr>
            <w:tcW w:type="dxa" w:w="4320"/>
          </w:tcPr>
          <w:p>
            <w:r>
              <w:t>Heather Munoz</w:t>
            </w:r>
          </w:p>
        </w:tc>
      </w:tr>
    </w:tbl>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1E4D2B"/>
        <w:sz w:val="28"/>
      </w:rPr>
      <w:t>Hollowell Patent Group PLLC</w:t>
    </w:r>
  </w:p>
  <w:p>
    <w:r>
      <w:rPr>
        <w:sz w:val="18"/>
      </w:rPr>
      <w:t>www.hollowellpatent.com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Hollowell Patent Group PLLC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Meeting Minutes: Freedom-to-Operate Analysis for Middleton, Sullivan and Wiley</dc:title>
  <dc:subject/>
  <dc:creator>Heather Munoz</dc:creator>
  <cp:keywords/>
  <dc:description>generated by python-docx</dc:description>
  <cp:lastModifiedBy>Heather Munoz</cp:lastModifiedBy>
  <cp:revision>1</cp:revision>
  <dcterms:created xsi:type="dcterms:W3CDTF">2020-11-20T09:00:00Z</dcterms:created>
  <dcterms:modified xsi:type="dcterms:W3CDTF">2020-11-20T09:00:00Z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