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Heather Munoz, Amanda Schwartz</w:t>
        <w:br/>
        <w:t>From: Kelly Snyder</w:t>
        <w:br/>
        <w:t>Re: Odonnell Inc patent portfolio review, kickoff and docket</w:t>
      </w:r>
    </w:p>
    <w:p>
      <w:r>
        <w:t>This opens the Odonnell Inc portfolio review and sets the work for the first weeks. The engagement is a family-by-family review of the portfolio: reconcile the docketed dates against the office record, check the prosecution history and the current claim scope, and flag anything coming due. We are engaged as of May 13, 2019, and the docket is the first priority.</w:t>
      </w:r>
    </w:p>
    <w:p>
      <w:r>
        <w:t>Before any substantive review, two constraints hold. No date can slip while we get organized, and every conclusion has to trace to the office record rather than to a prior summary. Keep both in mind as you work.</w:t>
      </w:r>
    </w:p>
    <w:p>
      <w:r>
        <w:t>The scope is the existing portfolio only. We are not prosecuting new filings or responding to office actions under this engagement; if the review turns up something that needs either, it goes to Heather Munoz and then to Odonnell Inc as a separate question, not into this work. The output is a single written review, organized family by family, that the client can act on. Keep your notes in that structure from the start, so assembling the review at the end is collation and not reconstruction.</w:t>
      </w:r>
    </w:p>
    <w:p>
      <w:r>
        <w:t>One master date list governs the work. I keep it, it lives on the matter docket, and every date any of us relies on has to be on it and reconciled against the office record. If a date is not on the list, treat it as unconfirmed and check it before you act.</w:t>
      </w:r>
    </w:p>
    <w:p>
      <w:pPr>
        <w:pStyle w:val="Heading2"/>
      </w:pPr>
      <w:r>
        <w:t>Lines of Work</w:t>
      </w:r>
    </w:p>
    <w:p>
      <w:pPr>
        <w:pStyle w:val="ListBullet"/>
      </w:pPr>
      <w:r>
        <w:t>1. Docket audit. Kelly Snyder pulls every family in the portfolio and reconciles each docketed date against the office record. Any discrepancy is logged the day it is found, with the source noted so a second reader can confirm it. The audit closes only when every family reconciles.</w:t>
      </w:r>
    </w:p>
    <w:p>
      <w:pPr>
        <w:pStyle w:val="ListBullet"/>
      </w:pPr>
      <w:r>
        <w:t>2. File-history reconciliation. Amanda Schwartz works through the prosecution histories family by family, confirms the current claim set, and flags gaps or missing documents for retrieval. She starts with the larger families, where the histories are longest. Missing documents are logged and requested the same week.</w:t>
      </w:r>
    </w:p>
    <w:p>
      <w:pPr>
        <w:pStyle w:val="ListBullet"/>
      </w:pPr>
      <w:r>
        <w:t>3. Substantive review. Heather Munoz reviews each family for claim scope and prosecution posture, in the order the docket sets, and owns what we conclude. Nothing about scope is treated as settled until she has read the file. A family is not marked done until her notes are in.</w:t>
      </w:r>
    </w:p>
    <w:p>
      <w:pPr>
        <w:pStyle w:val="ListBullet"/>
      </w:pPr>
      <w:r>
        <w:t>4. Client updates. Status goes to Gary Smith against the matter on a regular cadence, and every note is tied to the family it concerns. Any date at risk is reported the day we see it, not at the next scheduled update. We keep the client current even in the weeks the news is thin.</w:t>
      </w:r>
    </w:p>
    <w:p>
      <w:pPr>
        <w:pStyle w:val="Heading2"/>
      </w:pPr>
      <w:r>
        <w:t>The First Two Weeks</w:t>
      </w:r>
    </w:p>
    <w:p>
      <w:pPr>
        <w:pStyle w:val="ListBullet"/>
      </w:pPr>
      <w:r>
        <w:t>1. Kelly Snyder completes the docket audit for the full portfolio and circulates the reconciled list of dates, marking any that are close. Discrepancies go on the list with the office record cited.</w:t>
      </w:r>
    </w:p>
    <w:p>
      <w:pPr>
        <w:pStyle w:val="ListBullet"/>
      </w:pPr>
      <w:r>
        <w:t>2. Amanda Schwartz begins the file histories with the largest family and reports gaps as she finds them, so retrieval starts before the review reaches that family.</w:t>
      </w:r>
    </w:p>
    <w:p>
      <w:pPr>
        <w:pStyle w:val="ListBullet"/>
      </w:pPr>
      <w:r>
        <w:t>3. Heather Munoz sets the review order against the docket once the audit is in, urgent families first, and circulates the sequence to the team.</w:t>
      </w:r>
    </w:p>
    <w:p>
      <w:pPr>
        <w:pStyle w:val="ListBullet"/>
      </w:pPr>
      <w:r>
        <w:t>4. We confirm the standing update slot and the format with Gary Smith, so the client cadence is set from the start and the first status goes out on time.</w:t>
      </w:r>
    </w:p>
    <w:p>
      <w:r>
        <w:t>Keep everything on the matter docket, including internal notes and any call with the client. If a date looks wrong or tight, raise it the same day rather than holding it for the next scheduled check. I will reconcile the master date list against the office record each week until the audit is closed, and I will flag anything that has moved.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Patent Portfolio Review for Odonnell Inc</dc:title>
  <dc:subject/>
  <dc:creator>Kelly Snyder</dc:creator>
  <cp:keywords/>
  <dc:description>generated by python-docx</dc:description>
  <cp:lastModifiedBy>Kelly Snyder</cp:lastModifiedBy>
  <cp:revision>1</cp:revision>
  <dcterms:created xsi:type="dcterms:W3CDTF">2019-05-16T09:00:00Z</dcterms:created>
  <dcterms:modified xsi:type="dcterms:W3CDTF">2019-05-16T09:00:00Z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