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Patent Portfolio Review: Interim Status Report</w:t>
      </w:r>
    </w:p>
    <w:p>
      <w:r>
        <w:t>Prepared for Odonnell Inc.</w:t>
        <w:br/>
        <w:t>Matter: Patent Portfolio Review.</w:t>
        <w:br/>
        <w:t>Report date: August 27, 2019.</w:t>
        <w:br/>
        <w:t>Prepared by Kelly Snyder, Patent Agent, Prosecution.</w:t>
      </w:r>
    </w:p>
    <w:p>
      <w:pPr>
        <w:pStyle w:val="Heading2"/>
      </w:pPr>
      <w:r>
        <w:t>Where the review stands</w:t>
      </w:r>
    </w:p>
    <w:p>
      <w:r>
        <w:t>The portfolio review is roughly halfway through its planned course. The docket is current, every active matter is staffed, and no deadline is unaccounted for. This report covers what we have completed since the last update, what is now underway, and three items that will need a decision from the client.</w:t>
      </w:r>
    </w:p>
    <w:p>
      <w:r>
        <w:t>The purpose of the review is unchanged. We confirm that every active matter is correctly docketed, that the claims still match the client's commercial interest, and that nothing lapses for lack of a docketed deadline. We organize the work by family and by date, and the docket sets the order. When a filing preference and a deadline conflict, we follow the deadline.</w:t>
      </w:r>
    </w:p>
    <w:p>
      <w:pPr>
        <w:pStyle w:val="Heading2"/>
      </w:pPr>
      <w:r>
        <w:t>Completed since the last report</w:t>
      </w:r>
    </w:p>
    <w:p>
      <w:r>
        <w:t>1. Portfolio inventory. We reconciled the docket against the client's own records and confirmed the count of active families, pending applications, and issued patents under maintenance. Each item now carries a docket entry, a responsible attorney, and its next action date.</w:t>
      </w:r>
    </w:p>
    <w:p>
      <w:r>
        <w:t>2. Office-action responses. Amanda Schwartz drafted the responses to the office actions that came due in this period. Each was reviewed before filing and filed within its statutory window. Two responses narrowed claims the examiner had rejected over prior art, and none required a request for continued examination.</w:t>
      </w:r>
    </w:p>
    <w:p>
      <w:r>
        <w:t>3. Family review. Heather Munoz completed a claim-by-claim read of the first group of families. Her notes identify two families whose independent claims may reach beyond what the specification supports. One further family would benefit from a continuation to preserve subject matter the issued claims leave uncovered.</w:t>
      </w:r>
    </w:p>
    <w:p>
      <w:r>
        <w:t>4. Title and formalities. We audited the chain of title on every active matter and recorded two assignments that had been executed but never filed. Information disclosure statements are current for all pending applications, and we cleared a small backlog of references that had come in through related prosecution but had not yet been submitted.</w:t>
      </w:r>
    </w:p>
    <w:p>
      <w:r>
        <w:t>5. Docket audit. We ran a full audit of the docket against the client's calendar and our own. No deadline appears on one calendar and not the other. Where the two disagreed on a date, we resolved to the earlier one and confirmed it against the official record.</w:t>
      </w:r>
    </w:p>
    <w:p>
      <w:pPr>
        <w:pStyle w:val="Heading2"/>
      </w:pPr>
      <w:r>
        <w:t>Underway and next on the docket</w:t>
      </w:r>
    </w:p>
    <w:p>
      <w:r>
        <w:t>The remaining families are queued for the same claim-by-claim read, in the order their next deadlines fall rather than by file number. We expect to finish that read in the back half of the engagement and to report on each family as it is completed.</w:t>
      </w:r>
    </w:p>
    <w:p>
      <w:r>
        <w:t>1. Complete the review of the remaining families and deliver written notes on each.</w:t>
      </w:r>
    </w:p>
    <w:p>
      <w:r>
        <w:t>2. Prepare the maintenance-fee schedule for the coming year and confirm every window with the client before any fee is paid or allowed to lapse.</w:t>
      </w:r>
    </w:p>
    <w:p>
      <w:r>
        <w:t>3. Draft the responses to the office actions already on the near-term docket, and calendar the two that permit no extension of time.</w:t>
      </w:r>
    </w:p>
    <w:p>
      <w:r>
        <w:t>4. Review the foreign counterparts and flag any national-phase entry or annuity deadline that falls in the coming year.</w:t>
      </w:r>
    </w:p>
    <w:p>
      <w:r>
        <w:t>5. Assemble a one-page summary of the portfolio for the client's board, organized by family and current status.</w:t>
      </w:r>
    </w:p>
    <w:p>
      <w:r>
        <w:t>6. Prepare the recommendations on the two broad families so the client can decide with the whole picture in front of it.</w:t>
      </w:r>
    </w:p>
    <w:p>
      <w:pPr>
        <w:pStyle w:val="Heading2"/>
      </w:pPr>
      <w:r>
        <w:t>Items for the client's attention</w:t>
      </w:r>
    </w:p>
    <w:p>
      <w:r>
        <w:t>None of the following is urgent as of this report. Each is docketed and staffed. We raise them now because each will need a decision before the review closes.</w:t>
      </w:r>
    </w:p>
    <w:p>
      <w:r>
        <w:t>1. Claim scope. Two families carry independent claims that may exceed their support. Heather Munoz will recommend, family by family, whether to narrow by amendment or to hold the claims as filed and defend them if the examiner objects.</w:t>
      </w:r>
    </w:p>
    <w:p>
      <w:r>
        <w:t>2. A deadline without margin. One pending application faces a response deadline that allows no extension of time. It is docketed, and Amanda Schwartz is assigned to the response. We flag it only because it has no cushion.</w:t>
      </w:r>
    </w:p>
    <w:p>
      <w:r>
        <w:t>3. Open confirmations. The client owes us signed confirmation on two inventor assignments. We cannot certify the chain of title, or close those files, until the executed paperwork is on record.</w:t>
      </w:r>
    </w:p>
    <w:p>
      <w:r>
        <w:t>Each of these can wait for the board's schedule, provided the decision reaches us before we close the file. We will send a one-line reminder against the docket as each date approaches.</w:t>
      </w:r>
    </w:p>
    <w:p>
      <w:pPr>
        <w:pStyle w:val="Heading2"/>
      </w:pPr>
      <w:r>
        <w:t>Scope and fees</w:t>
      </w:r>
    </w:p>
    <w:p>
      <w:r>
        <w:t>The review remains within the agreed scope and budget. If any item above grows into work beyond the engagement, we will describe it and price it before starting the work.</w:t>
      </w:r>
    </w:p>
    <w:p>
      <w:r>
        <w:t>The next report will follow at the usual interval. Questions on any matter can come to me against its docket number. I will route anything that calls for a partner's judgment to Heather Munoz, and Amanda Schwartz can answer on the status of individual responses.</w:t>
      </w:r>
    </w:p>
    <w:p>
      <w:r>
        <w:t>Kelly Snyder</w:t>
        <w:br/>
        <w:t>Patent Agent, Prosecution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Patent Portfolio Review for Odonnell Inc</dc:title>
  <dc:subject/>
  <dc:creator>Kelly Snyder</dc:creator>
  <cp:keywords/>
  <dc:description>generated by python-docx</dc:description>
  <cp:lastModifiedBy>Kelly Snyder</cp:lastModifiedBy>
  <cp:revision>1</cp:revision>
  <dcterms:created xsi:type="dcterms:W3CDTF">2019-08-27T09:00:00Z</dcterms:created>
  <dcterms:modified xsi:type="dcterms:W3CDTF">2019-08-27T09:00:00Z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