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OrgSmith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Patent Portfolio Review: Meeting Minutes</w:t>
      </w:r>
    </w:p>
    <w:p>
      <w:r>
        <w:t>Matter: Patent Portfolio Review for Odonnell Inc.</w:t>
        <w:br/>
        <w:t>Meeting date: November 4, 2019.</w:t>
        <w:br/>
        <w:t>Location: Hollowell Patent Group, by conference call.</w:t>
        <w:br/>
        <w:t>Minutes prepared by Heather Munoz, Partner, Prosecution.</w:t>
      </w:r>
    </w:p>
    <w:p>
      <w:pPr>
        <w:pStyle w:val="Heading2"/>
      </w:pPr>
      <w:r>
        <w:t>Attendees</w:t>
      </w:r>
    </w:p>
    <w:p>
      <w:pPr>
        <w:pStyle w:val="ListBullet"/>
      </w:pPr>
      <w:r>
        <w:t>Heather Munoz, Partner, Prosecution (chair)</w:t>
      </w:r>
    </w:p>
    <w:p>
      <w:pPr>
        <w:pStyle w:val="ListBullet"/>
      </w:pPr>
      <w:r>
        <w:t>Kelly Snyder, Patent Agent, Prosecution</w:t>
      </w:r>
    </w:p>
    <w:p>
      <w:pPr>
        <w:pStyle w:val="ListBullet"/>
      </w:pPr>
      <w:r>
        <w:t>Amanda Schwartz, Associate, Prosecution</w:t>
      </w:r>
    </w:p>
    <w:p>
      <w:pPr>
        <w:pStyle w:val="ListBullet"/>
      </w:pPr>
      <w:r>
        <w:t>Gary Smith, General Manager, Odonnell Inc</w:t>
      </w:r>
    </w:p>
    <w:p>
      <w:pPr>
        <w:pStyle w:val="Heading2"/>
      </w:pPr>
      <w:r>
        <w:t>Discussion</w:t>
      </w:r>
    </w:p>
    <w:p>
      <w:r>
        <w:t>The review is nearly complete. We walked Gary Smith through the findings on the remaining families and set the agenda for close-out. Two decisions stay open, and both are the client's to make.</w:t>
      </w:r>
    </w:p>
    <w:p>
      <w:r>
        <w:t>Kelly Snyder summarized the docket. Every active matter is current, and the maintenance-fee schedule for the coming year is drafted with a confirmation date against each window. She also reported on the foreign counterparts. Two national-phase deadlines fall in the coming year, and both are calendared with a reminder set well ahead of the bar date.</w:t>
      </w:r>
    </w:p>
    <w:p>
      <w:r>
        <w:t>Amanda Schwartz reported on the office-action responses filed since the last meeting. Two responses narrowed claims over prior art, and one included an examiner interview that cleared a restriction requirement. One application still sits under a response deadline that permits no extension. That response is drafted, docketed on two calendars, and will file ahead of the bar date.</w:t>
      </w:r>
    </w:p>
    <w:p>
      <w:r>
        <w:t>Heather Munoz presented the family review. Most families are clean. Two carry independent claims that reach beyond the specification, and one would benefit from a continuation to capture subject matter the issued claims leave uncovered. The continuation, if the client wants it, must be filed while a parent application is still pending.</w:t>
      </w:r>
    </w:p>
    <w:p>
      <w:r>
        <w:t>Gary Smith asked whether the two broad families should be narrowed now or defended as filed. I recommended narrowing one family by amendment and holding the other as filed, and I explained the risk on each. Gary Smith agreed to confirm both after the board reviews the one-page summary. We will not act on either family until that confirmation is on record.</w:t>
      </w:r>
    </w:p>
    <w:p>
      <w:r>
        <w:t>Gary Smith asked that the board summary stay to a single page and lead with the portfolio's commercial coverage. Kelly Snyder will prepare it in that form, organized by family, with the open decisions marked.</w:t>
      </w:r>
    </w:p>
    <w:p>
      <w:r>
        <w:t>Two items remain open for the client. The first is the narrow-or-hold decision on the two broad families. The second is whether to file the continuation. Both wait on the board's read of the summary.</w:t>
      </w:r>
    </w:p>
    <w:p>
      <w:r>
        <w:t>The remaining work is the close-out package. It comprises written notes on every family, the confirmed maintenance-fee schedule, the foreign-counterpart calendar, and the board summary. We expect to deliver it in the final stretch of the engagement. No next meeting was set; we will schedule a final call once Gary Smith has the board's direction.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Deliver written review notes on each remaining family</w:t>
            </w:r>
          </w:p>
        </w:tc>
        <w:tc>
          <w:tcPr>
            <w:tcW w:type="dxa" w:w="2160"/>
          </w:tcPr>
          <w:p>
            <w:r>
              <w:t>Kelly Snyder</w:t>
            </w:r>
          </w:p>
        </w:tc>
        <w:tc>
          <w:tcPr>
            <w:tcW w:type="dxa" w:w="2160"/>
          </w:tcPr>
          <w:p>
            <w:r>
              <w:t>By close-out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File the response on the no-extension application</w:t>
            </w:r>
          </w:p>
        </w:tc>
        <w:tc>
          <w:tcPr>
            <w:tcW w:type="dxa" w:w="2160"/>
          </w:tcPr>
          <w:p>
            <w:r>
              <w:t>Amanda Schwartz</w:t>
            </w:r>
          </w:p>
        </w:tc>
        <w:tc>
          <w:tcPr>
            <w:tcW w:type="dxa" w:w="2160"/>
          </w:tcPr>
          <w:p>
            <w:r>
              <w:t>Before its deadline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Prepare the narrow-or-hold recommendation on the two broad families</w:t>
            </w:r>
          </w:p>
        </w:tc>
        <w:tc>
          <w:tcPr>
            <w:tcW w:type="dxa" w:w="2160"/>
          </w:tcPr>
          <w:p>
            <w:r>
              <w:t>Heather Munoz</w:t>
            </w:r>
          </w:p>
        </w:tc>
        <w:tc>
          <w:tcPr>
            <w:tcW w:type="dxa" w:w="2160"/>
          </w:tcPr>
          <w:p>
            <w:r>
              <w:t>This week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Confirm the narrow-or-hold decision after board review</w:t>
            </w:r>
          </w:p>
        </w:tc>
        <w:tc>
          <w:tcPr>
            <w:tcW w:type="dxa" w:w="2160"/>
          </w:tcPr>
          <w:p>
            <w:r>
              <w:t>Gary Smith</w:t>
            </w:r>
          </w:p>
        </w:tc>
        <w:tc>
          <w:tcPr>
            <w:tcW w:type="dxa" w:w="2160"/>
          </w:tcPr>
          <w:p>
            <w:r>
              <w:t>After board meeting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Send the one-page portfolio summary to the client's board</w:t>
            </w:r>
          </w:p>
        </w:tc>
        <w:tc>
          <w:tcPr>
            <w:tcW w:type="dxa" w:w="2160"/>
          </w:tcPr>
          <w:p>
            <w:r>
              <w:t>Kelly Snyder</w:t>
            </w:r>
          </w:p>
        </w:tc>
        <w:tc>
          <w:tcPr>
            <w:tcW w:type="dxa" w:w="2160"/>
          </w:tcPr>
          <w:p>
            <w:r>
              <w:t>Next week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Circulate the confirmed maintenance-fee schedule</w:t>
            </w:r>
          </w:p>
        </w:tc>
        <w:tc>
          <w:tcPr>
            <w:tcW w:type="dxa" w:w="2160"/>
          </w:tcPr>
          <w:p>
            <w:r>
              <w:t>Amanda Schwartz</w:t>
            </w:r>
          </w:p>
        </w:tc>
        <w:tc>
          <w:tcPr>
            <w:tcW w:type="dxa" w:w="2160"/>
          </w:tcPr>
          <w:p>
            <w:r>
              <w:t>With close-out package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Calendar and confirm the two foreign national-phase deadlines</w:t>
            </w:r>
          </w:p>
        </w:tc>
        <w:tc>
          <w:tcPr>
            <w:tcW w:type="dxa" w:w="2160"/>
          </w:tcPr>
          <w:p>
            <w:r>
              <w:t>Kelly Snyder</w:t>
            </w:r>
          </w:p>
        </w:tc>
        <w:tc>
          <w:tcPr>
            <w:tcW w:type="dxa" w:w="2160"/>
          </w:tcPr>
          <w:p>
            <w:r>
              <w:t>In the coming year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Advise the client on filing the continuation before the parent issues</w:t>
            </w:r>
          </w:p>
        </w:tc>
        <w:tc>
          <w:tcPr>
            <w:tcW w:type="dxa" w:w="2160"/>
          </w:tcPr>
          <w:p>
            <w:r>
              <w:t>Heather Munoz</w:t>
            </w:r>
          </w:p>
        </w:tc>
        <w:tc>
          <w:tcPr>
            <w:tcW w:type="dxa" w:w="2160"/>
          </w:tcPr>
          <w:p>
            <w:r>
              <w:t>Before close-out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1E4D2B"/>
        <w:sz w:val="28"/>
      </w:rPr>
      <w:t>Hollowell Patent Group PLLC</w:t>
    </w:r>
  </w:p>
  <w:p>
    <w:r>
      <w:rPr>
        <w:sz w:val="18"/>
      </w:rPr>
      <w:t>www.hollowellpatent.com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Hollowell Patent Group PLLC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Minutes: Patent Portfolio Review for Odonnell Inc</dc:title>
  <dc:subject/>
  <dc:creator>Heather Munoz</dc:creator>
  <cp:keywords/>
  <dc:description>generated by python-docx</dc:description>
  <cp:lastModifiedBy>Heather Munoz</cp:lastModifiedBy>
  <cp:revision>1</cp:revision>
  <dcterms:created xsi:type="dcterms:W3CDTF">2019-11-04T09:00:00Z</dcterms:created>
  <dcterms:modified xsi:type="dcterms:W3CDTF">2019-11-04T09:00:00Z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gSmithSynthetic">
    <vt:lpwstr>true</vt:lpwstr>
  </property>
</Properties>
</file>