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Richard Henderson</w:t>
        <w:br/>
        <w:t>From: David Chang</w:t>
        <w:br/>
        <w:t>Re: Kickoff -- Licensing Diligence for Price-Henson</w:t>
      </w:r>
    </w:p>
    <w:p>
      <w:r>
        <w:t>This memo sets the plan for the licensing diligence we are opening for Price-Henson. The engagement starts on March 14, 2025 and runs about six months. Our job is to tell the client what the transaction actually buys them the right to practice, and where the patents and the license terms behind it leave them exposed. We are not drawing conclusions yet, and we should not be; the first weeks are about fixing scope and completing the document set, so that everything we build on top of it stands on something solid.</w:t>
      </w:r>
    </w:p>
    <w:p>
      <w:pPr>
        <w:pStyle w:val="Heading2"/>
      </w:pPr>
      <w:r>
        <w:t>The Work</w:t>
      </w:r>
    </w:p>
    <w:p>
      <w:pPr>
        <w:pStyle w:val="ListBullet"/>
      </w:pPr>
      <w:r>
        <w:t>1. Fix the scope. I will turn the deal summary and the client's description of the transaction Price-Henson is evaluating into a written statement of exactly what we are clearing and what we are not, and we do not begin the substantive review until that statement is settled. A diligence report is only as good as the scope it runs against.</w:t>
      </w:r>
    </w:p>
    <w:p>
      <w:pPr>
        <w:pStyle w:val="ListBullet"/>
      </w:pPr>
      <w:r>
        <w:t>2. Assemble the document set. We pull the patents, the applications, and every license, assignment, and side letter that bears on the rights at issue, and we log in writing anything we are missing and put the request in while the set is still coming together.</w:t>
      </w:r>
    </w:p>
    <w:p>
      <w:pPr>
        <w:pStyle w:val="ListBullet"/>
      </w:pPr>
      <w:r>
        <w:t>3. Read and search. I will read the portfolio and chart the claims that matter against the transaction; you run the prior-art and freedom-to-operate searches and keep the reference set current. We record the search terms and the classes we ran, so the scope of the searching sits on the record and not just in our heads.</w:t>
      </w:r>
    </w:p>
    <w:p>
      <w:pPr>
        <w:pStyle w:val="ListBullet"/>
      </w:pPr>
      <w:r>
        <w:t>4. Escalate the calls. Anything that turns on infringement, validity, or the legal effect of a license term goes to the partner, not into a client note under our own names. We chart it and hand it up; we do not characterize it ourselves.</w:t>
      </w:r>
    </w:p>
    <w:p>
      <w:r>
        <w:t>Our contact on the client side is Tiffany Munoz, the Chief Financial Officer at Price-Henson. Route document requests and scope questions to her, copy me, and keep the exchange on a single thread so the record stays in one place. She is expecting our first list of what we need from her side.</w:t>
      </w:r>
    </w:p>
    <w:p>
      <w:r>
        <w:t>One standing rule for this matter, the same as every matter here: every date goes on the docket the day we learn it. The transaction has deadlines of its own, and if any of them land inside our review window I want them docketed and flagged to the partner well before they get close. A missed date is the one mistake this firm does not absorb.</w:t>
      </w:r>
    </w:p>
    <w:p>
      <w:pPr>
        <w:pStyle w:val="Heading2"/>
      </w:pPr>
      <w:r>
        <w:t>What Happens First</w:t>
      </w:r>
    </w:p>
    <w:p>
      <w:r>
        <w:t>To start, I will draft the scope statement from the deal summary the client has already sent and circulate it for your read before anything substantive moves. You open the matter on the docket and stand up the reference set and the engagement file, so that every patent we pull and every date tied to this matter lives in one place from the first day. I will send Tiffany Munoz the list of documents we need from the Price-Henson side by the end of the first week, and copy you on it.</w:t>
      </w:r>
    </w:p>
    <w:p>
      <w:r>
        <w:t>The scope statement is the gate. Nothing substantive starts until it is written and we both agree it is right.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Licensing Diligence for Price-Henson</dc:title>
  <dc:subject/>
  <dc:creator>David Chang</dc:creator>
  <cp:keywords/>
  <dc:description>generated by python-docx</dc:description>
  <cp:lastModifiedBy>David Chang</cp:lastModifiedBy>
  <cp:revision>1</cp:revision>
  <dcterms:created xsi:type="dcterms:W3CDTF">2025-03-17T09:00:00Z</dcterms:created>
  <dcterms:modified xsi:type="dcterms:W3CDTF">2025-03-17T09:00:00Z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