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 Licensing Diligence for Price-Henson</w:t>
      </w:r>
    </w:p>
    <w:p>
      <w:r>
        <w:t>Prepared by David Chang, Patent Agent, for the finance office of Price-Henson. This report covers the review period since the last update and states where the diligence stands, what closed in the period, what is scheduled next, and the one item that carries risk to the schedule.</w:t>
      </w:r>
    </w:p>
    <w:p>
      <w:pPr>
        <w:pStyle w:val="Heading2"/>
      </w:pPr>
      <w:r>
        <w:t>Summary</w:t>
      </w:r>
    </w:p>
    <w:p>
      <w:r>
        <w:t>The licensing diligence is at its midpoint and on schedule. Coverage mapping across the portfolio is complete, the chain-of-title review is closed on every family but one, and the encumbrances search is under way. No finding to date falls outside the scope set in the engagement letter, and no deadline tied to the reviewed families is at risk. The review has moved past the reading-in stage and into confirmation, which is where the docket dates and the recorded title chain are checked against the office record rather than taken from the files as given. The single open item, a recorded assignment that does not match a priority claim, is described under Risks and is contained.</w:t>
      </w:r>
    </w:p>
    <w:p>
      <w:pPr>
        <w:pStyle w:val="Heading2"/>
      </w:pPr>
      <w:r>
        <w:t>Work Completed This Period</w:t>
      </w:r>
    </w:p>
    <w:p>
      <w:r>
        <w:t>The bulk of the coverage and title work closed in this period, and the review moved from reading files to reconciling what they show.</w:t>
      </w:r>
    </w:p>
    <w:p>
      <w:pPr>
        <w:pStyle w:val="ListBullet"/>
      </w:pPr>
      <w:r>
        <w:t>1. Coverage mapping is complete for every family in the portfolio. The license grant reconciles to the issued claims in each family, and the two families that were open at the last working session are now fully charted and consistent with the rest.</w:t>
      </w:r>
    </w:p>
    <w:p>
      <w:pPr>
        <w:pStyle w:val="ListBullet"/>
      </w:pPr>
      <w:r>
        <w:t>2. Chain of title is reconciled for all families but one. Richard Henderson ran down the assignment gap flagged in the prior period, confirmed the recorded chain against the office record family by family, and cleared every family except the one carried under Risks below.</w:t>
      </w:r>
    </w:p>
    <w:p>
      <w:pPr>
        <w:pStyle w:val="ListBullet"/>
      </w:pPr>
      <w:r>
        <w:t>3. The encumbrances search has begun. We have pulled the recorded security interests and liens against roughly half the families and, so far, have found nothing undisclosed that would cloud the grant described in the term sheet.</w:t>
      </w:r>
    </w:p>
    <w:p>
      <w:pPr>
        <w:pStyle w:val="ListBullet"/>
      </w:pPr>
      <w:r>
        <w:t>4. The docketed dates on the reviewed families have been reconciled against the office record, and any date that did not match has been corrected on the master list and cross-checked by a second reader.</w:t>
      </w:r>
    </w:p>
    <w:p>
      <w:pPr>
        <w:pStyle w:val="Heading2"/>
      </w:pPr>
      <w:r>
        <w:t>Budget</w:t>
      </w:r>
    </w:p>
    <w:p>
      <w:r>
        <w:t>The engagement is a fixed fee of $41,000, and the work performed stands at roughly half that amount, which tracks the midpoint of the review. We do not foresee any charge beyond the fixed fee for the scope stated in the engagement letter. If the open title family turns into work outside that scope, or if the company asks for an opinion on any matter the diligence surfaces, we will quote that work separately and wait for written authorization before we begin it.</w:t>
      </w:r>
    </w:p>
    <w:p>
      <w:pPr>
        <w:pStyle w:val="Heading2"/>
      </w:pPr>
      <w:r>
        <w:t>Scheduled Next</w:t>
      </w:r>
    </w:p>
    <w:p>
      <w:r>
        <w:t>The coming period closes the search work and turns the review toward the written report.</w:t>
      </w:r>
    </w:p>
    <w:p>
      <w:pPr>
        <w:pStyle w:val="ListBullet"/>
      </w:pPr>
      <w:r>
        <w:t>1. Complete the encumbrances search across the remaining families, and log any lien or recorded security interest against the matter the day it is confirmed.</w:t>
      </w:r>
    </w:p>
    <w:p>
      <w:pPr>
        <w:pStyle w:val="ListBullet"/>
      </w:pPr>
      <w:r>
        <w:t>2. Resolve the one open title family, confirm the recorded assignment against the office record, and correct the recorded date if the office record shows it is wrong.</w:t>
      </w:r>
    </w:p>
    <w:p>
      <w:pPr>
        <w:pStyle w:val="ListBullet"/>
      </w:pPr>
      <w:r>
        <w:t>3. Begin assembling the diligence report, organized family by family, so that final assembly is a matter of collation rather than reconstruction.</w:t>
      </w:r>
    </w:p>
    <w:p>
      <w:pPr>
        <w:pStyle w:val="ListBullet"/>
      </w:pPr>
      <w:r>
        <w:t>4. Reconcile the master date list one further time against the office record before the report is drafted, so that no date the report relies on is carried forward unconfirmed.</w:t>
      </w:r>
    </w:p>
    <w:p>
      <w:pPr>
        <w:pStyle w:val="Heading2"/>
      </w:pPr>
      <w:r>
        <w:t>Observations</w:t>
      </w:r>
    </w:p>
    <w:p>
      <w:r>
        <w:t>Two points are worth recording now, though neither is a conclusion. The claim charts show the license grant sitting inside the issued claims on the families reviewed so far, with no family where the grant reaches subject matter the claims do not cover. Separately, one family's prosecution history includes an amendment that narrows a term more than the file summary suggested, which we have noted for the report; it does not change coverage, but it is the kind of detail the company should have in front of it before it relies on the grant. Both points will be set out family by family in the written report rather than summarized here.</w:t>
      </w:r>
    </w:p>
    <w:p>
      <w:pPr>
        <w:pStyle w:val="Heading2"/>
      </w:pPr>
      <w:r>
        <w:t>Risks</w:t>
      </w:r>
    </w:p>
    <w:p>
      <w:r>
        <w:t>One item carries risk to the schedule, and it is contained. The open title family turns on a recorded assignment that does not match the priority claim, and until the chain is confirmed we treat the recorded date as unconfirmed and rest no conclusion on it. We do not expect the item to move the delivery window, and if that changes you will hear from us the day it does. Nothing in the review to this point supports a conclusion on infringement or validity, and any question of that kind is referred for an attorney opinion rather than answered in this report.</w:t>
      </w:r>
    </w:p>
    <w:p>
      <w:r>
        <w:t>We will send the next report at the close of the coming period, or sooner if the docket requires it. David Chang and Richard Henderson are the contacts for anything in the meantime.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Licensing Diligence for Price-Henson</dc:title>
  <dc:subject/>
  <dc:creator>David Chang</dc:creator>
  <cp:keywords/>
  <dc:description>generated by python-docx</dc:description>
  <cp:lastModifiedBy>David Chang</cp:lastModifiedBy>
  <cp:revision>1</cp:revision>
  <dcterms:created xsi:type="dcterms:W3CDTF">2025-06-08T09:00:00Z</dcterms:created>
  <dcterms:modified xsi:type="dcterms:W3CDTF">2025-06-08T09:00:00Z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