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 Licensing Diligence for Price-Henson</w:t>
      </w:r>
    </w:p>
    <w:p>
      <w:r>
        <w:t>Recorded by Richard Henderson. Working session on the licensing diligence for Price-Henson, held to review the coverage findings to date, settle the open title question, and set the work through the next several weeks.</w:t>
      </w:r>
    </w:p>
    <w:p>
      <w:pPr>
        <w:pStyle w:val="Heading2"/>
      </w:pPr>
      <w:r>
        <w:t>Attendees</w:t>
      </w:r>
    </w:p>
    <w:p>
      <w:pPr>
        <w:pStyle w:val="ListBullet"/>
      </w:pPr>
      <w:r>
        <w:t>David Chang, Patent Agent, Prosecution</w:t>
      </w:r>
    </w:p>
    <w:p>
      <w:pPr>
        <w:pStyle w:val="ListBullet"/>
      </w:pPr>
      <w:r>
        <w:t>Richard Henderson, Patent Agent, Prosecution</w:t>
      </w:r>
    </w:p>
    <w:p>
      <w:pPr>
        <w:pStyle w:val="ListBullet"/>
      </w:pPr>
      <w:r>
        <w:t>Tiffany Munoz, Chief Financial Officer, Price-Henson</w:t>
      </w:r>
    </w:p>
    <w:p>
      <w:pPr>
        <w:pStyle w:val="Heading2"/>
      </w:pPr>
      <w:r>
        <w:t>Where the Diligence Stands</w:t>
      </w:r>
    </w:p>
    <w:p>
      <w:r>
        <w:t>The diligence is on schedule and no deadline is at risk. David Chang has mapped the license grant onto the issued claims for all but two families, and the coverage reconciles where the mapping is complete. The two families still open are the larger ones, with the longest prosecution histories, and their claim charts are in progress. Neither is date-critical in this window, and both are sequenced to close before the encumbrances work begins.</w:t>
      </w:r>
    </w:p>
    <w:p>
      <w:r>
        <w:t>Chain of title is reconciled for most of the portfolio. One family carries a recorded assignment that does not match the priority claim. The gap is logged, and it is being run down against the office record. Until the chain is confirmed, the recorded date stays marked unconfirmed on the master list, and no conclusion for that family rests on it.</w:t>
      </w:r>
    </w:p>
    <w:p>
      <w:pPr>
        <w:pStyle w:val="Heading2"/>
      </w:pPr>
      <w:r>
        <w:t>Discussion</w:t>
      </w:r>
    </w:p>
    <w:p>
      <w:r>
        <w:t>Tiffany Munoz asked how the open families affect the schedule and the budget. Richard Henderson set out the sequence. The two coverage charts close first, then the encumbrances search, then the written report. Nothing in the open items changes the delivery window, and the work to date is inside the fixed fee.</w:t>
      </w:r>
    </w:p>
    <w:p>
      <w:r>
        <w:t>The group reviewed the coverage findings family by family. The grant sits inside the issued claims on every family charted so far, and no charted family reaches subject matter the claims do not cover. One family showed a term narrowed during prosecution by more than the file summary indicated; David Chang traced the amendment in the file history and flagged it for the report so the company sees the narrowed scope on its face. Questions of infringement or validity that surface during the review are recorded and referred for an attorney opinion, not resolved in these sessions. The minutes note the question and the family it touches, and nothing more.</w:t>
      </w:r>
    </w:p>
    <w:p>
      <w:r>
        <w:t>David Chang raised the encumbrances search, which starts next. He will pull the recorded liens and security interests against each family, and any encumbrance found will be logged against the matter the day it is confirmed.</w:t>
      </w:r>
    </w:p>
    <w:p>
      <w:r>
        <w:t>The docket carried part of the session. Richard Henderson confirmed that the reviewed families sit on the matter docket with their dates reconciled against the office record, and that the weekly reconciliation continues until the report is delivered. Any date in question is raised the day it is found, not held for the next scheduled check.</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Close the coverage charts for the two open families</w:t>
            </w:r>
          </w:p>
        </w:tc>
        <w:tc>
          <w:tcPr>
            <w:tcW w:type="dxa" w:w="2880"/>
          </w:tcPr>
          <w:p>
            <w:r>
              <w:t>David Chang</w:t>
            </w:r>
          </w:p>
        </w:tc>
        <w:tc>
          <w:tcPr>
            <w:tcW w:type="dxa" w:w="2880"/>
          </w:tcPr>
          <w:p>
            <w:r>
              <w:t>Two weeks</w:t>
            </w:r>
          </w:p>
        </w:tc>
      </w:tr>
      <w:tr>
        <w:tc>
          <w:tcPr>
            <w:tcW w:type="dxa" w:w="2880"/>
          </w:tcPr>
          <w:p>
            <w:r>
              <w:t>Confirm the assignment chain on the mismatched family and correct the recorded date</w:t>
            </w:r>
          </w:p>
        </w:tc>
        <w:tc>
          <w:tcPr>
            <w:tcW w:type="dxa" w:w="2880"/>
          </w:tcPr>
          <w:p>
            <w:r>
              <w:t>Richard Henderson</w:t>
            </w:r>
          </w:p>
        </w:tc>
        <w:tc>
          <w:tcPr>
            <w:tcW w:type="dxa" w:w="2880"/>
          </w:tcPr>
          <w:p>
            <w:r>
              <w:t>Two weeks</w:t>
            </w:r>
          </w:p>
        </w:tc>
      </w:tr>
      <w:tr>
        <w:tc>
          <w:tcPr>
            <w:tcW w:type="dxa" w:w="2880"/>
          </w:tcPr>
          <w:p>
            <w:r>
              <w:t>Begin and complete the encumbrances search across the portfolio</w:t>
            </w:r>
          </w:p>
        </w:tc>
        <w:tc>
          <w:tcPr>
            <w:tcW w:type="dxa" w:w="2880"/>
          </w:tcPr>
          <w:p>
            <w:r>
              <w:t>David Chang</w:t>
            </w:r>
          </w:p>
        </w:tc>
        <w:tc>
          <w:tcPr>
            <w:tcW w:type="dxa" w:w="2880"/>
          </w:tcPr>
          <w:p>
            <w:r>
              <w:t>Before the next session</w:t>
            </w:r>
          </w:p>
        </w:tc>
      </w:tr>
      <w:tr>
        <w:tc>
          <w:tcPr>
            <w:tcW w:type="dxa" w:w="2880"/>
          </w:tcPr>
          <w:p>
            <w:r>
              <w:t>Send Tiffany Munoz a short note when the two coverage charts close</w:t>
            </w:r>
          </w:p>
        </w:tc>
        <w:tc>
          <w:tcPr>
            <w:tcW w:type="dxa" w:w="2880"/>
          </w:tcPr>
          <w:p>
            <w:r>
              <w:t>Richard Henderson</w:t>
            </w:r>
          </w:p>
        </w:tc>
        <w:tc>
          <w:tcPr>
            <w:tcW w:type="dxa" w:w="2880"/>
          </w:tcPr>
          <w:p>
            <w:r>
              <w:t>On completion</w:t>
            </w:r>
          </w:p>
        </w:tc>
      </w:tr>
    </w:tbl>
    <w:p>
      <w:pPr>
        <w:pStyle w:val="Heading2"/>
      </w:pPr>
      <w:r>
        <w:t>Next Session</w:t>
      </w:r>
    </w:p>
    <w:p>
      <w:r>
        <w:t>The next session will take the two coverage charts and the first encumbrances findings. Richard Henderson will circulate a short agenda beforehand, with the open title family listed first. No opinion on coverage will be represented to Price-Henson until the charts are complete and reviewed.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Licensing Diligence for Price-Henson</dc:title>
  <dc:subject/>
  <dc:creator>Richard Henderson</dc:creator>
  <cp:keywords/>
  <dc:description>generated by python-docx</dc:description>
  <cp:lastModifiedBy>Richard Henderson</cp:lastModifiedBy>
  <cp:revision>1</cp:revision>
  <dcterms:created xsi:type="dcterms:W3CDTF">2025-05-21T09:00:00Z</dcterms:created>
  <dcterms:modified xsi:type="dcterms:W3CDTF">2025-05-21T09:00:00Z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