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 Licensing Diligence for Price-Henson</w:t>
      </w:r>
    </w:p>
    <w:p>
      <w:r>
        <w:t>Recorded by Richard Henderson. Closing working session on the licensing diligence for Price-Henson, held to confirm the findings, settle the last open item, and set the delivery of the written report.</w:t>
      </w:r>
    </w:p>
    <w:p>
      <w:pPr>
        <w:pStyle w:val="Heading2"/>
      </w:pPr>
      <w:r>
        <w:t>Attendees</w:t>
      </w:r>
    </w:p>
    <w:p>
      <w:pPr>
        <w:pStyle w:val="ListBullet"/>
      </w:pPr>
      <w:r>
        <w:t>David Chang, Patent Agent, Prosecution</w:t>
      </w:r>
    </w:p>
    <w:p>
      <w:pPr>
        <w:pStyle w:val="ListBullet"/>
      </w:pPr>
      <w:r>
        <w:t>Richard Henderson, Patent Agent, Prosecution</w:t>
      </w:r>
    </w:p>
    <w:p>
      <w:pPr>
        <w:pStyle w:val="ListBullet"/>
      </w:pPr>
      <w:r>
        <w:t>Tiffany Munoz, Chief Financial Officer, Price-Henson</w:t>
      </w:r>
    </w:p>
    <w:p>
      <w:pPr>
        <w:pStyle w:val="Heading2"/>
      </w:pPr>
      <w:r>
        <w:t>Where the Diligence Stands</w:t>
      </w:r>
    </w:p>
    <w:p>
      <w:r>
        <w:t>The diligence is substantially complete and the report is in final review. Coverage mapping and the encumbrances search are both closed, and the one open title family has been resolved. No deadline is at risk, and nothing remains that would hold the report.</w:t>
      </w:r>
    </w:p>
    <w:p>
      <w:r>
        <w:t>David Chang confirmed the coverage findings. The license grant reconciles to the issued claims across the portfolio, and the two families that were open at the last session are now charted and consistent with the rest. The one family whose prosecution history narrowed a term is documented in the report, with the amendment traced so the narrowed scope is plain. The encumbrances search turned up recorded interests on two families, both of them disclosed in the term sheet, and nothing undisclosed that clouds the grant.</w:t>
      </w:r>
    </w:p>
    <w:p>
      <w:r>
        <w:t>Richard Henderson reported the title family closed. The recorded assignment that did not match the priority claim was a recording error at the office; the corrected assignment is now on record, and the chain reconciles. The recorded date on the master list has been updated to match the office record.</w:t>
      </w:r>
    </w:p>
    <w:p>
      <w:r>
        <w:t>The group also confirmed what the report will and will not say. It sets out the coverage mapping, the reconciled chain of title, and the encumbrances found, each organized by family, and it states plainly where a question falls outside its scope. It offers no opinion on whether any claim is infringed or valid, which is consistent with the engagement and with how the firm treats opinion work.</w:t>
      </w:r>
    </w:p>
    <w:p>
      <w:pPr>
        <w:pStyle w:val="Heading2"/>
      </w:pPr>
      <w:r>
        <w:t>Discussion</w:t>
      </w:r>
    </w:p>
    <w:p>
      <w:r>
        <w:t>Tiffany Munoz asked about the form of the report and its distribution. Richard Henderson confirmed that the report is organized family by family, marked privileged, and will be addressed to Tiffany Munoz and held to the distribution she sets at Price-Henson. Questions of infringement and validity stay outside the report; where the diligence touched either, the point is noted and left for an attorney opinion under a separate engagement if the company wants one.</w:t>
      </w:r>
    </w:p>
    <w:p>
      <w:r>
        <w:t>The docket was reconciled a final time during the session. Every reviewed family sits on the matter docket with its dates confirmed against the office record, and no date tied to the portfolio is open. The weekly reconciliation continues through delivery.</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Complete the final read of the diligence report</w:t>
            </w:r>
          </w:p>
        </w:tc>
        <w:tc>
          <w:tcPr>
            <w:tcW w:type="dxa" w:w="2880"/>
          </w:tcPr>
          <w:p>
            <w:r>
              <w:t>Richard Henderson</w:t>
            </w:r>
          </w:p>
        </w:tc>
        <w:tc>
          <w:tcPr>
            <w:tcW w:type="dxa" w:w="2880"/>
          </w:tcPr>
          <w:p>
            <w:r>
              <w:t>This week</w:t>
            </w:r>
          </w:p>
        </w:tc>
      </w:tr>
      <w:tr>
        <w:tc>
          <w:tcPr>
            <w:tcW w:type="dxa" w:w="2880"/>
          </w:tcPr>
          <w:p>
            <w:r>
              <w:t>Verify every claim chart and title reference against the matter file</w:t>
            </w:r>
          </w:p>
        </w:tc>
        <w:tc>
          <w:tcPr>
            <w:tcW w:type="dxa" w:w="2880"/>
          </w:tcPr>
          <w:p>
            <w:r>
              <w:t>David Chang</w:t>
            </w:r>
          </w:p>
        </w:tc>
        <w:tc>
          <w:tcPr>
            <w:tcW w:type="dxa" w:w="2880"/>
          </w:tcPr>
          <w:p>
            <w:r>
              <w:t>This week</w:t>
            </w:r>
          </w:p>
        </w:tc>
      </w:tr>
      <w:tr>
        <w:tc>
          <w:tcPr>
            <w:tcW w:type="dxa" w:w="2880"/>
          </w:tcPr>
          <w:p>
            <w:r>
              <w:t>Deliver the privileged report to Tiffany Munoz</w:t>
            </w:r>
          </w:p>
        </w:tc>
        <w:tc>
          <w:tcPr>
            <w:tcW w:type="dxa" w:w="2880"/>
          </w:tcPr>
          <w:p>
            <w:r>
              <w:t>Richard Henderson</w:t>
            </w:r>
          </w:p>
        </w:tc>
        <w:tc>
          <w:tcPr>
            <w:tcW w:type="dxa" w:w="2880"/>
          </w:tcPr>
          <w:p>
            <w:r>
              <w:t>On completion of the final read</w:t>
            </w:r>
          </w:p>
        </w:tc>
      </w:tr>
      <w:tr>
        <w:tc>
          <w:tcPr>
            <w:tcW w:type="dxa" w:w="2880"/>
          </w:tcPr>
          <w:p>
            <w:r>
              <w:t>Close the matter file and archive the reconciled docket</w:t>
            </w:r>
          </w:p>
        </w:tc>
        <w:tc>
          <w:tcPr>
            <w:tcW w:type="dxa" w:w="2880"/>
          </w:tcPr>
          <w:p>
            <w:r>
              <w:t>David Chang</w:t>
            </w:r>
          </w:p>
        </w:tc>
        <w:tc>
          <w:tcPr>
            <w:tcW w:type="dxa" w:w="2880"/>
          </w:tcPr>
          <w:p>
            <w:r>
              <w:t>After delivery</w:t>
            </w:r>
          </w:p>
        </w:tc>
      </w:tr>
    </w:tbl>
    <w:p>
      <w:pPr>
        <w:pStyle w:val="Heading2"/>
      </w:pPr>
      <w:r>
        <w:t>Delivery</w:t>
      </w:r>
    </w:p>
    <w:p>
      <w:r>
        <w:t>With the open items settled, the engagement moves to delivery. Richard Henderson will finish the final read this week, and the report will go to Price-Henson once David Chang has verified every chart and reference against the matter file. The docket stays under weekly reconciliation until delivery, so any date that moves before the report is out is caught and reported the day it moves. No conclusion on infringement or validity is offered in the report, consistent with the scope set at the outset.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Licensing Diligence for Price-Henson</dc:title>
  <dc:subject/>
  <dc:creator>Richard Henderson</dc:creator>
  <cp:keywords/>
  <dc:description>generated by python-docx</dc:description>
  <cp:lastModifiedBy>Richard Henderson</cp:lastModifiedBy>
  <cp:revision>1</cp:revision>
  <dcterms:created xsi:type="dcterms:W3CDTF">2025-08-19T09:00:00Z</dcterms:created>
  <dcterms:modified xsi:type="dcterms:W3CDTF">2025-08-19T09:00:00Z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