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Hollowell Patent Group PLLC: Firm Overview</w:t>
      </w:r>
    </w:p>
    <w:p>
      <w:r>
        <w:t>Hollowell Patent Group is a patent boutique. We prosecute and defend patent portfolios, and we would rather do a small number of things carefully than a long list of things adequately. A client who hires us gets lawyers and agents who know the technology, the file histories, and the deadlines, and who will say plainly what a patent does and does not cover. We keep our workload deliberate, so that the people who meet a client in the first conversation are the people who do that client's work afterward.</w:t>
      </w:r>
    </w:p>
    <w:p>
      <w:pPr>
        <w:pStyle w:val="Heading2"/>
      </w:pPr>
      <w:r>
        <w:t>The Work</w:t>
      </w:r>
    </w:p>
    <w:p>
      <w:r>
        <w:t>Our involvement runs from a first application through the life of a granted patent. We prosecute across the technologies our clients actually build, which for this firm means a good deal of medical-device and hardware work, where the claims sit close to the engineering and a drafting error is expensive to unwind years later. The service lines below describe how that work is organized, not the limits of what we will take on.</w:t>
      </w:r>
    </w:p>
    <w:p>
      <w:pPr>
        <w:pStyle w:val="ListBullet"/>
      </w:pPr>
      <w:r>
        <w:t>Patent prosecution. Drafting and filing new applications and carrying them through examination, including the responses and claim amendments that answer an examiner's rejections.</w:t>
      </w:r>
    </w:p>
    <w:p>
      <w:pPr>
        <w:pStyle w:val="ListBullet"/>
      </w:pPr>
      <w:r>
        <w:t>Portfolio management. Organizing a client's patents by family and technology, so that decisions about what to file, maintain, or let lapse are made against the whole portfolio rather than one matter at a time.</w:t>
      </w:r>
    </w:p>
    <w:p>
      <w:pPr>
        <w:pStyle w:val="ListBullet"/>
      </w:pPr>
      <w:r>
        <w:t>Opinions and counseling. Freedom-to-operate, patentability, and related analyses, written with the qualifications the question actually warrants and marked privileged where they belong.</w:t>
      </w:r>
    </w:p>
    <w:p>
      <w:pPr>
        <w:pStyle w:val="ListBullet"/>
      </w:pPr>
      <w:r>
        <w:t>Portfolio review and reporting. Structured reviews organized by family, and short updates to a client or a board that put the portfolio on a page without pretending it is simpler than it is.</w:t>
      </w:r>
    </w:p>
    <w:p>
      <w:pPr>
        <w:pStyle w:val="Heading2"/>
      </w:pPr>
      <w:r>
        <w:t>How We Work</w:t>
      </w:r>
    </w:p>
    <w:p>
      <w:r>
        <w:t>How we take a matter is as much a part of the service as the matter itself. Every engagement begins with a letter that says in plain terms what we will do, what it costs, who does the work, and what happens if an invoice goes unpaid, because a scope argument is far cheaper to have at the start of a matter than in the middle of a prosecution. We run a conflicts check before we open a file, and we decline the matters we cannot take cleanly, since a firm this size protects its clients by being careful about whom it represents, not by taking in everything that walks through the door.</w:t>
      </w:r>
    </w:p>
    <w:p>
      <w:r>
        <w:t>We write carefully on purpose. Counsel who tells a client that a product does not infringe, without qualification, has written a liability rather than an opinion, so our memoranda carry the hedges the analysis warrants and no more certainty than the record will support. And the docket is the discipline everything else rests on: a missed date is the one mistake this practice cannot absorb, so nothing goes out and no deadline passes without routing through docketing, and a date, once confirmed, is not quietly changed.</w:t>
      </w:r>
    </w:p>
    <w:p>
      <w:r>
        <w:t>Clients hear from us the way the work actually moves. Routine updates are short and go out against a docket number, so a client can file them and find them again without reading a page of preamble to learn one date. Portfolio reviews are the opposite, long and structured and organized by family, because a portfolio is only legible when the related matters are read together. And when a board wants the whole picture at once, we will put it on a page, though we will not let a one-page summary imply a certainty the underlying files do not have.</w:t>
      </w:r>
    </w:p>
    <w:p>
      <w:pPr>
        <w:pStyle w:val="Heading2"/>
      </w:pPr>
      <w:r>
        <w:t>Representative Work</w:t>
      </w:r>
    </w:p>
    <w:p>
      <w:r>
        <w:t>A representative example of the work is our engagement for Odonnell Inc, for whom we handle prosecution and portfolio matters of the kind described above. It is one illustration of what we do rather than the whole of our practice, and we describe it here only to show the shape of a typical engagement; the balance of our work is confidential to the clients it belongs to.</w:t>
      </w:r>
    </w:p>
    <w:p>
      <w:r>
        <w:t>If a company is weighing whether to move its patent work here, the next step is a conversation rather than a proposal. Mary Bradley, Managing Partner, takes those inquiries directly, will run the conflicts check before anything else, and will say plainly whether this firm is the right place for the matter.</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Firm Overview</dc:title>
  <dc:subject/>
  <dc:creator>Mary Bradley</dc:creator>
  <cp:keywords/>
  <dc:description>generated by python-docx</dc:description>
  <cp:lastModifiedBy>Mary Bradley</cp:lastModifiedBy>
  <cp:revision>1</cp:revision>
  <dcterms:created xsi:type="dcterms:W3CDTF">2019-06-12T09:00:00Z</dcterms:created>
  <dcterms:modified xsi:type="dcterms:W3CDTF">2019-06-12T09:00:00Z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