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Hollowell Patent Group PLLC</w:t>
      </w:r>
    </w:p>
    <w:p>
      <w:r>
        <w:t>Hollowell Patent Group is a patent boutique. We build and defend patent portfolios for companies whose products depend on the claims holding up, and we keep the practice deliberately small, so that the agents and attorneys who take a client's first call are the same people who prosecute that client's applications and answer for them afterward. What follows describes what the firm does, how the work is organized, and the standards the practice holds itself to.</w:t>
      </w:r>
    </w:p>
    <w:p>
      <w:pPr>
        <w:pStyle w:val="Heading2"/>
      </w:pPr>
      <w:r>
        <w:t>What the Firm Does</w:t>
      </w:r>
    </w:p>
    <w:p>
      <w:r>
        <w:t>The firm's center of gravity is patent prosecution: drafting new applications, filing them, and carrying them through examination, which means writing the office-action responses and claim amendments that answer an examiner's rejections rather than handing a client a filing and stepping away. Most of that work sits in the technologies our clients actually build, which for this firm has meant a steady diet of medical-device and hardware matters, where the claims sit close to the engineering and a drafting choice made early is expensive to unwind years later.</w:t>
      </w:r>
    </w:p>
    <w:p>
      <w:r>
        <w:t>Three related lines of work run alongside prosecution. We manage portfolios by family and technology, so that decisions to file, maintain, or let a patent lapse are made against the whole rather than one matter at a time; we prepare freedom-to-operate, patentability, and related opinions, qualified to the degree the question and the record actually warrant and marked privileged where they belong; and we produce the structured portfolio reviews and short client updates that keep an owner current on where each family stands. None of these is billed as an add-on to prosecution so much as a different view of the same portfolio, read at a different range.</w:t>
      </w:r>
    </w:p>
    <w:p>
      <w:pPr>
        <w:pStyle w:val="Heading2"/>
      </w:pPr>
      <w:r>
        <w:t>How Clients Hear From the Firm</w:t>
      </w:r>
    </w:p>
    <w:p>
      <w:r>
        <w:t>The firm reports the way the work actually moves. Routine updates are short and go out against a docket number, so that a client can file a note and find it again later without reading a page of preamble to recover a single date. Portfolio reviews are the opposite in every respect, long and structured and organized by family, because a portfolio is only legible when the related matters are read together rather than one at a time.</w:t>
      </w:r>
    </w:p>
    <w:p>
      <w:r>
        <w:t>When a board wants the whole picture at once, the firm will put the portfolio on a page, and it will do so without letting a one-page summary imply a certainty the underlying files do not carry. The register changes with the audience, but the discipline behind it does not, and every number, date, and status in a client-facing document traces back to the firm's own records rather than to a drafter's memory.</w:t>
      </w:r>
    </w:p>
    <w:p>
      <w:pPr>
        <w:pStyle w:val="Heading2"/>
      </w:pPr>
      <w:r>
        <w:t>Representative Client Work</w:t>
      </w:r>
    </w:p>
    <w:p>
      <w:r>
        <w:t>The firm's clients are confidential to the matters they belong to, but a few engagements illustrate the shape of a typical relationship more usefully than a description would. The firm's work for Odonnell Inc, for Middleton, Sullivan and Wiley, and for Keith-Duarte is representative of the practice: portfolios prosecuted and managed over a span of years, organized by family, and reported against a docket the client can rely on. These are offered as examples of how the firm engages, drawn from its recent work, and not as an accounting of everyone the firm represents.</w:t>
      </w:r>
    </w:p>
    <w:p>
      <w:pPr>
        <w:pStyle w:val="Heading2"/>
      </w:pPr>
      <w:r>
        <w:t>The Standards Behind the Work</w:t>
      </w:r>
    </w:p>
    <w:p>
      <w:r>
        <w:t>How the firm takes a matter is part of the service it provides. Every engagement opens with a letter that states in plain terms what the firm will do, what it costs, who does the work, and what happens if an invoice goes unpaid, because a scope question is far less costly to settle at the start of a matter than in the middle of a prosecution. A conflicts check runs before any file is opened, and the firm declines the matters it cannot take cleanly.</w:t>
      </w:r>
    </w:p>
    <w:p>
      <w:r>
        <w:t>The practice is careful about certainty. Counsel who tells a client that a product does not infringe, flatly and without qualification, has written a liability rather than an opinion, so the firm's memoranda carry the qualifications the analysis supports and no more confidence than the record will bear.</w:t>
      </w:r>
    </w:p>
    <w:p>
      <w:r>
        <w:t>Underneath all of it is the docket, which the firm treats as the one discipline nothing else can make up for. Nothing goes out and no deadline passes without routing through docketing, a confirmed date is not moved without a reason on the record, and a missed date remains the single mistake this practice does not consider survivable.</w:t>
      </w:r>
    </w:p>
    <w:p>
      <w:r>
        <w:t>A company considering whether to move its patent work to the firm should start with a short conversation rather than a written proposal. The next step is to write to Mary Bradley, Managing Partner, who handles new inquiries herself and will run a conflicts check before the firm opens a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Mary Bradley</dc:creator>
  <cp:keywords/>
  <dc:description>generated by python-docx</dc:description>
  <cp:lastModifiedBy>Mary Bradley</cp:lastModifiedBy>
  <cp:revision>1</cp:revision>
  <dcterms:created xsi:type="dcterms:W3CDTF">2022-06-11T09:00:00Z</dcterms:created>
  <dcterms:modified xsi:type="dcterms:W3CDTF">2022-06-11T09:00:00Z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