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Firm Overview: Hollowell Patent Group PLLC</w:t>
      </w:r>
    </w:p>
    <w:p>
      <w:r>
        <w:t>Hollowell Patent Group is a boutique patent firm. The practice keeps its book deliberate and its bench close to the technology, so that the agents and attorneys a client meets at the outset are the same people who carry the client's matters through examination and afterward. We chose that scale on purpose, because a portfolio is best served by people who hold its whole history in their heads rather than by a rotating cast reading in from a file each time. This overview sets out the firm's practice areas, a sample of its client work, and the standards it holds itself to.</w:t>
      </w:r>
    </w:p>
    <w:p>
      <w:pPr>
        <w:pStyle w:val="Heading2"/>
      </w:pPr>
      <w:r>
        <w:t>Practice Areas</w:t>
      </w:r>
    </w:p>
    <w:p>
      <w:r>
        <w:t>The firm concentrates on patent prosecution and the work that surrounds it, weighted toward the medical-device and hardware matters where the claims sit close to what a client actually builds. Prosecution is the core, and the other lines exist to keep that core coherent over the life of a portfolio rather than one filing at a time. The list below describes how the firm organizes that work rather than the limits of what it will take on.</w:t>
      </w:r>
    </w:p>
    <w:p>
      <w:pPr>
        <w:pStyle w:val="ListBullet"/>
      </w:pPr>
      <w:r>
        <w:t>Prosecution. Drafting and filing new applications and carrying them through examination, including the office-action responses and claim amendments that answer an examiner's rejections.</w:t>
      </w:r>
    </w:p>
    <w:p>
      <w:pPr>
        <w:pStyle w:val="ListBullet"/>
      </w:pPr>
      <w:r>
        <w:t>Portfolio management. Organizing a client's patents by family and technology, so that decisions to file, maintain, or abandon are made against the whole portfolio rather than one matter at a time.</w:t>
      </w:r>
    </w:p>
    <w:p>
      <w:pPr>
        <w:pStyle w:val="ListBullet"/>
      </w:pPr>
      <w:r>
        <w:t>Opinions and counseling. Freedom-to-operate, patentability, and related analyses, written with the qualifications the question warrants and marked privileged where they belong.</w:t>
      </w:r>
    </w:p>
    <w:p>
      <w:pPr>
        <w:pStyle w:val="ListBullet"/>
      </w:pPr>
      <w:r>
        <w:t>Review and reporting. Structured portfolio reviews organized by family, and short updates that put the current state of a portfolio in front of a client or a board without overstating it.</w:t>
      </w:r>
    </w:p>
    <w:p>
      <w:pPr>
        <w:pStyle w:val="Heading2"/>
      </w:pPr>
      <w:r>
        <w:t>Representative Client Work</w:t>
      </w:r>
    </w:p>
    <w:p>
      <w:r>
        <w:t>A handful of engagements show the shape of a typical relationship better than a general description can. The firm's work for Odonnell Inc, Middleton, Sullivan and Wiley, Keith-Duarte, Jackson Inc, and Price-Henson is representative of the practice across recent years: portfolios drafted, prosecuted, and managed by family, and reported against a docket the client can depend on. Each began with an engagement letter and a conflicts check and has been carried by the same small group of agents and attorneys since, which is the pattern the firm aims to repeat rather than the exception it points to. These are illustrative examples of how the firm works, not a roster of everyone it represents.</w:t>
      </w:r>
    </w:p>
    <w:p>
      <w:pPr>
        <w:pStyle w:val="Heading2"/>
      </w:pPr>
      <w:r>
        <w:t>Reporting</w:t>
      </w:r>
    </w:p>
    <w:p>
      <w:r>
        <w:t>Clients hear from the firm in the register the work calls for. Routine updates are short and keyed to a docket number, so a client can file one and retrieve it later without wading through preamble to find a single date; portfolio reviews are long and structured and read by family, because the related matters only make sense together; and a board summary will put the whole portfolio on a page without pretending the underlying files are simpler than they are.</w:t>
      </w:r>
    </w:p>
    <w:p>
      <w:pPr>
        <w:pStyle w:val="Heading2"/>
      </w:pPr>
      <w:r>
        <w:t>How the Firm Engages</w:t>
      </w:r>
    </w:p>
    <w:p>
      <w:r>
        <w:t>Every matter begins with an engagement letter that states in plain terms what the firm will do, what it costs, who performs the work, and what follows if an invoice goes unpaid, because a scope question is far cheaper to settle at the start than in the middle of a prosecution. The firm runs a conflicts check before it opens any file, and it declines the matters it cannot take cleanly.</w:t>
      </w:r>
    </w:p>
    <w:p>
      <w:r>
        <w:t>The firm is careful with certainty in everything a client reads. Counsel who says a product does not infringe, without qualification, has written a liability rather than an opinion, so the firm's memoranda carry the qualifications the analysis supports and no more confidence than the record will bear. A client is better served by an opinion it can act on knowing exactly where its edges are than by a cleaner sentence that will not hold when it is tested.</w:t>
      </w:r>
    </w:p>
    <w:p>
      <w:pPr>
        <w:pStyle w:val="Heading2"/>
      </w:pPr>
      <w:r>
        <w:t>The Docket</w:t>
      </w:r>
    </w:p>
    <w:p>
      <w:r>
        <w:t>The discipline the rest of the practice rests on is the docket. Nothing leaves the firm and no deadline passes without routing through docketing, a date once confirmed is not moved without a reason on the record, and a missed date is the one mistake the firm treats as unrecoverable. Clients tend to feel this less as a policy than as a firm that does not surprise them with a lapsed deadline.</w:t>
      </w:r>
    </w:p>
    <w:p>
      <w:r>
        <w:t>A company weighing a change in patent counsel should begin with a conversation rather than a proposal. The step to take is to reach Mary Bradley, Managing Partner, who meets new inquiries herself and will clear a conflicts check before the firm takes on the matter.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Mary Bradley</dc:creator>
  <cp:keywords/>
  <dc:description>generated by python-docx</dc:description>
  <cp:lastModifiedBy>Mary Bradley</cp:lastModifiedBy>
  <cp:revision>1</cp:revision>
  <dcterms:created xsi:type="dcterms:W3CDTF">2025-06-10T09:00:00Z</dcterms:created>
  <dcterms:modified xsi:type="dcterms:W3CDTF">2025-06-10T09:00:00Z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