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Richard Henderson</w:t>
      </w:r>
    </w:p>
    <w:p>
      <w:r>
        <w:t>This record is prepared by Mary Bradley, Managing Partner, and kept in the file. Richard Henderson joins the prosecution group this week as a patent agent, and I am glad to have him, because he comes to us from the drafting and prosecution side of the work and that is exactly the bench we set out to deepen this year.</w:t>
      </w:r>
    </w:p>
    <w:p>
      <w:r>
        <w:t>Richard Henderson will spend most of his time where he is strongest, which is inside specifications, file histories, and the office-action responses that go back to the examiner, and I would rather have him drafting on live matters early than shadowing for a month. His notes, from the samples I have read, are dense and exact in the way this work rewards, and that is the register I want him to keep. He should expect his first assignments to be prosecution matters already in flight, picked up mid-file, because reading into a live history is the fastest way to learn how this firm works a case.</w:t>
      </w:r>
    </w:p>
    <w:p>
      <w:r>
        <w:t>He reports to Heather Munoz, Partner, who will assign his first matters, set his priorities against the docket, and read behind him until the firm's house style is second nature to him. When the work stacks up faster than the calendar allows, Heather is the one to rebalance it, and that judgment is hers to make rather than his to absorb in silence; a question about which deadline truly comes first is always worth asking before the fact.</w:t>
      </w:r>
    </w:p>
    <w:p>
      <w:r>
        <w:t>The habits I care most about, he appears to already carry. This firm does not overstate, so a response that claims more than the file will support is a liability, and I would sooner read a careful hedge than a confident flourish. Anything that touches infringement or validity goes to a partner before it goes anywhere else, because those opinions carry the firm's name rather than the agent's, and his instinct to flag them up instead of settling them himself is the correct one. The specifications and searches he produces are the foundation an attorney's opinion is built on, so precision in the record counts for more than speed, and where his work touches a client's confidences he should mark it privileged and route it accordingly.</w:t>
      </w:r>
    </w:p>
    <w:p>
      <w:r>
        <w:t>The docket is the one thing here that does not forgive a mistake, so in his first days he will sit with the docketing desk and learn how dates are set, confirmed, and never quietly moved. His access, files, and library credentials are already in place, so nothing should hold up his first assignment but the assignment itself. For a first step, he should meet with Heather Munoz this week to take his opening matters, and he should treat the docket walkthrough as the one appointment on his calendar that does not get moved.</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Richard Henderson</dc:title>
  <dc:subject/>
  <dc:creator>Mary Bradley</dc:creator>
  <cp:keywords/>
  <dc:description>generated by python-docx</dc:description>
  <cp:lastModifiedBy>Mary Bradley</cp:lastModifiedBy>
  <cp:revision>1</cp:revision>
  <dcterms:created xsi:type="dcterms:W3CDTF">2019-10-24T09:00:00Z</dcterms:created>
  <dcterms:modified xsi:type="dcterms:W3CDTF">2019-10-24T09:00:00Z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