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Associate: Joseph Walker</w:t>
      </w:r>
    </w:p>
    <w:p>
      <w:r>
        <w:t>Joseph Walker started with the prosecution group on Monday, and this note is for the file and for the people who will work with him. He joins as an associate on the prosecution side, comfortable in a specification and a file history, which means he can be useful on live matters quickly rather than after a long ramp. I want him treated as someone who can carry real work early, with a partner reading behind him.</w:t>
      </w:r>
    </w:p>
    <w:p>
      <w:r>
        <w:t>Joseph Walker reports to Heather Munoz, Partner. She will hand him his first matters, set the order he works them in, and review his drafts before anything leaves the firm; when he cannot tell whether a task is genuinely urgent, that is a question for Heather and not one for him to settle by guessing. He should get comfortable asking it, since the firm treats an up-front question as ordinary and a misjudged priority as the thing we are trying to avoid.</w:t>
      </w:r>
    </w:p>
    <w:p>
      <w:r>
        <w:t>How we work here should not surprise him, from what I have seen. He defers to a partner on anything a client will read, which is exactly right, because the sentence a client relies on is the firm's to stand behind and not the associate's to venture. He also marks privileged work as privileged without being told, and that reflex spares everyone the argument after the fact, so I would like the newer lawyers to watch how he handles it.</w:t>
      </w:r>
    </w:p>
    <w:p>
      <w:r>
        <w:t>The docket runs this firm, and he will learn quickly that a date here is confirmed and then left alone. The one mistake this practice cannot absorb is a deadline that slips because someone assumed someone else was holding it, so he will meet the docketing desk in his first days and see how that discipline works in practice, which is worth more than any written policy on the subject. His access, his seat with the prosecution group, and his first assignments are ready.</w:t>
      </w:r>
    </w:p>
    <w:p>
      <w:r>
        <w:t>For his first weeks he should read a stretch of the firm's recent responses and amendments before he drafts one of his own, so the house voice is in his ear and not in a memo, and he should expect to be on client calls early as a listener rather than a speaker. As a first step, his opening draft should go to Heather Munoz for review well before month-end, and he should book the docket-desk session this week rather than let it drift.</w:t>
      </w:r>
    </w:p>
    <w:p>
      <w:r>
        <w:t>Filed by Mary Bradley, Managing Partner.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Joseph Walker</dc:title>
  <dc:subject/>
  <dc:creator>Mary Bradley</dc:creator>
  <cp:keywords/>
  <dc:description>generated by python-docx</dc:description>
  <cp:lastModifiedBy>Mary Bradley</cp:lastModifiedBy>
  <cp:revision>1</cp:revision>
  <dcterms:created xsi:type="dcterms:W3CDTF">2021-01-25T09:00:00Z</dcterms:created>
  <dcterms:modified xsi:type="dcterms:W3CDTF">2021-01-25T09:00:00Z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