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Ashley Williams</w:t>
      </w:r>
    </w:p>
    <w:p>
      <w:r>
        <w:t>Ashley Williams joins the prosecution group this week, and I want the file to carry this from me, Mary Bradley, rather than from a form. She comes in as a patent agent on the hardware-heavy matters, fluent in claims and drawings, and that is a bench we have wanted to strengthen for some time. I expect her to be useful on live matters from the first week rather than after a long settling-in.</w:t>
      </w:r>
    </w:p>
    <w:p>
      <w:r>
        <w:t>Ashley Williams will work the mechanical and hardware prosecution as it comes off the docket, close to the claim language and the figures, and her tightly scoped drafting is exactly the instrument that work needs. Her writing, from the sample I have seen, is compact and neutral, built to survive a file wrapper rather than to persuade a reader, and that is the right voice for a record an examiner and a court may both read years from now.</w:t>
      </w:r>
    </w:p>
    <w:p>
      <w:r>
        <w:t>She reports to Heather Munoz, Partner, who will assign her matters, set her priorities, and review her work until the firm's conventions are second nature. If two matters both look urgent and she cannot tell which one truly is, that call goes to Heather rather than to whoever asked her most recently, and raising it early is exactly what I want her to do.</w:t>
      </w:r>
    </w:p>
    <w:p>
      <w:r>
        <w:t>The one line I draw on the first day is the same for every agent here. She keeps to the claims and the record and hands anything resembling an opinion to counsel, because a view on validity or infringement is the firm's to give and to stand behind, not the agent's to offer. Her habit of staying tightly scoped is what protects both her and the client, and she should hold to it even when a client asks her on a call to go a step further than the record allows.</w:t>
      </w:r>
    </w:p>
    <w:p>
      <w:r>
        <w:t>The docket is the discipline this firm is built on, so she will spend time with the docketing desk early to see how dates are set and held, since a missed date is the single mistake we cannot undo. Her access, her seat with the prosecution group, and her first assignments are already in place, and she should read a stretch of recent claim amendments before drafting one of her own. As a first step, she should spend her first afternoon with the docketing desk and see Heather Munoz for her opening matters by Friday.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Ashley Williams</dc:title>
  <dc:subject/>
  <dc:creator>Mary Bradley</dc:creator>
  <cp:keywords/>
  <dc:description>generated by python-docx</dc:description>
  <cp:lastModifiedBy>Mary Bradley</cp:lastModifiedBy>
  <cp:revision>1</cp:revision>
  <dcterms:created xsi:type="dcterms:W3CDTF">2021-02-10T09:00:00Z</dcterms:created>
  <dcterms:modified xsi:type="dcterms:W3CDTF">2021-02-10T09:00:00Z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